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184C" w:rsidRDefault="007F184C" w:rsidP="007F184C">
      <w:pPr>
        <w:autoSpaceDE w:val="0"/>
        <w:autoSpaceDN w:val="0"/>
        <w:adjustRightInd w:val="0"/>
        <w:jc w:val="center"/>
        <w:rPr>
          <w:rFonts w:eastAsia="Calibri"/>
          <w:color w:val="0000FF"/>
          <w:sz w:val="22"/>
          <w:szCs w:val="22"/>
        </w:rPr>
      </w:pPr>
      <w:r>
        <w:rPr>
          <w:noProof/>
          <w:lang w:eastAsia="en-GB"/>
        </w:rPr>
        <w:drawing>
          <wp:inline distT="0" distB="0" distL="0" distR="0">
            <wp:extent cx="3981450" cy="361950"/>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3981450" cy="361950"/>
                    </a:xfrm>
                    <a:prstGeom prst="rect">
                      <a:avLst/>
                    </a:prstGeom>
                    <a:noFill/>
                    <a:ln w="9525">
                      <a:noFill/>
                      <a:miter lim="800000"/>
                      <a:headEnd/>
                      <a:tailEnd/>
                    </a:ln>
                  </pic:spPr>
                </pic:pic>
              </a:graphicData>
            </a:graphic>
          </wp:inline>
        </w:drawing>
      </w:r>
    </w:p>
    <w:p w:rsidR="007F184C" w:rsidRDefault="007F184C" w:rsidP="007F184C">
      <w:pPr>
        <w:autoSpaceDE w:val="0"/>
        <w:autoSpaceDN w:val="0"/>
        <w:adjustRightInd w:val="0"/>
        <w:jc w:val="center"/>
        <w:rPr>
          <w:rFonts w:eastAsia="Calibri"/>
          <w:color w:val="0000FF"/>
          <w:sz w:val="22"/>
          <w:szCs w:val="22"/>
        </w:rPr>
      </w:pPr>
    </w:p>
    <w:p w:rsidR="007F184C" w:rsidRDefault="003E2454" w:rsidP="007F184C">
      <w:pPr>
        <w:autoSpaceDE w:val="0"/>
        <w:autoSpaceDN w:val="0"/>
        <w:adjustRightInd w:val="0"/>
        <w:jc w:val="center"/>
        <w:rPr>
          <w:rFonts w:eastAsia="Calibri"/>
          <w:color w:val="0000FF"/>
          <w:sz w:val="22"/>
          <w:szCs w:val="22"/>
        </w:rPr>
      </w:pPr>
      <w:hyperlink r:id="rId6" w:history="1">
        <w:r w:rsidR="007F184C" w:rsidRPr="00AD7BF2">
          <w:rPr>
            <w:rStyle w:val="Hyperlink"/>
            <w:rFonts w:eastAsia="Calibri"/>
            <w:sz w:val="22"/>
            <w:szCs w:val="22"/>
          </w:rPr>
          <w:t>www.planninginlondon.com</w:t>
        </w:r>
      </w:hyperlink>
    </w:p>
    <w:p w:rsidR="007F184C" w:rsidRDefault="007F184C" w:rsidP="007F184C">
      <w:pPr>
        <w:autoSpaceDE w:val="0"/>
        <w:autoSpaceDN w:val="0"/>
        <w:adjustRightInd w:val="0"/>
        <w:jc w:val="center"/>
        <w:rPr>
          <w:rFonts w:eastAsia="Calibri"/>
          <w:color w:val="0000FF"/>
          <w:sz w:val="22"/>
          <w:szCs w:val="22"/>
        </w:rPr>
      </w:pPr>
    </w:p>
    <w:p w:rsidR="007F184C" w:rsidRPr="007F184C" w:rsidRDefault="007F184C" w:rsidP="007F184C">
      <w:pPr>
        <w:ind w:right="386"/>
        <w:rPr>
          <w:rFonts w:eastAsia="Calibri"/>
          <w:color w:val="000000"/>
          <w:sz w:val="22"/>
          <w:szCs w:val="22"/>
        </w:rPr>
      </w:pPr>
      <w:r>
        <w:rPr>
          <w:rFonts w:eastAsia="Calibri"/>
          <w:color w:val="000000"/>
          <w:sz w:val="22"/>
          <w:szCs w:val="22"/>
        </w:rPr>
        <w:t xml:space="preserve">Minutes of the Meeting of the </w:t>
      </w:r>
      <w:r w:rsidRPr="00D77656">
        <w:rPr>
          <w:rFonts w:eastAsia="Calibri"/>
          <w:color w:val="000000"/>
          <w:sz w:val="22"/>
          <w:szCs w:val="22"/>
        </w:rPr>
        <w:t>Forum held</w:t>
      </w:r>
      <w:r>
        <w:rPr>
          <w:rFonts w:eastAsia="Calibri"/>
          <w:color w:val="000000"/>
          <w:sz w:val="22"/>
          <w:szCs w:val="22"/>
        </w:rPr>
        <w:t xml:space="preserve"> at RIBA 77 Portland Place W1 </w:t>
      </w:r>
      <w:r w:rsidRPr="007F184C">
        <w:rPr>
          <w:rFonts w:eastAsia="Calibri"/>
          <w:color w:val="000000"/>
          <w:sz w:val="22"/>
          <w:szCs w:val="22"/>
        </w:rPr>
        <w:t>on Monday 10th September 2012 between 2.30 and 5.30; Meeting Room No.1. Our host w</w:t>
      </w:r>
      <w:r>
        <w:rPr>
          <w:rFonts w:eastAsia="Calibri"/>
          <w:color w:val="000000"/>
          <w:sz w:val="22"/>
          <w:szCs w:val="22"/>
        </w:rPr>
        <w:t>as O</w:t>
      </w:r>
      <w:r w:rsidRPr="007F184C">
        <w:rPr>
          <w:rFonts w:eastAsia="Calibri"/>
          <w:color w:val="000000"/>
          <w:sz w:val="22"/>
          <w:szCs w:val="22"/>
        </w:rPr>
        <w:t>wen Wainhouse.</w:t>
      </w:r>
    </w:p>
    <w:p w:rsidR="00E6435E" w:rsidRDefault="00E6435E" w:rsidP="007F184C"/>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 xml:space="preserve">Attendance: </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Brian Waters: Chairman</w:t>
      </w:r>
    </w:p>
    <w:p w:rsidR="00EE196E" w:rsidRDefault="00EE196E" w:rsidP="007F184C">
      <w:pPr>
        <w:autoSpaceDE w:val="0"/>
        <w:autoSpaceDN w:val="0"/>
        <w:adjustRightInd w:val="0"/>
        <w:ind w:left="2160"/>
        <w:rPr>
          <w:rFonts w:eastAsia="Calibri"/>
          <w:color w:val="000000"/>
          <w:sz w:val="22"/>
          <w:szCs w:val="22"/>
        </w:rPr>
      </w:pPr>
      <w:r>
        <w:rPr>
          <w:rFonts w:eastAsia="Calibri"/>
          <w:color w:val="000000"/>
          <w:sz w:val="22"/>
          <w:szCs w:val="22"/>
        </w:rPr>
        <w:t xml:space="preserve">Alastair Gaskin: </w:t>
      </w:r>
      <w:proofErr w:type="spellStart"/>
      <w:r>
        <w:rPr>
          <w:rFonts w:eastAsia="Calibri"/>
          <w:color w:val="000000"/>
          <w:sz w:val="22"/>
          <w:szCs w:val="22"/>
        </w:rPr>
        <w:t>Reagh</w:t>
      </w:r>
      <w:proofErr w:type="spellEnd"/>
      <w:r>
        <w:rPr>
          <w:rFonts w:eastAsia="Calibri"/>
          <w:color w:val="000000"/>
          <w:sz w:val="22"/>
          <w:szCs w:val="22"/>
        </w:rPr>
        <w:t xml:space="preserve"> Consulting and Honorary Treasurer</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Andrew Rogers: Association of Consultant Architects</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Andy von Bradsky: Chairman PRP Architects</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Bob Dolata: Formerly LBs Hackney and Kingston upon Thames</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Duncan Bowie: University of Westminster</w:t>
      </w:r>
    </w:p>
    <w:p w:rsidR="007F184C" w:rsidRPr="00154DC6"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Matthew Randall: LB Hackney</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Martin Simmons: for TCPA</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 xml:space="preserve">Martine </w:t>
      </w:r>
      <w:proofErr w:type="spellStart"/>
      <w:r>
        <w:rPr>
          <w:rFonts w:eastAsia="Calibri"/>
          <w:color w:val="000000"/>
          <w:sz w:val="22"/>
          <w:szCs w:val="22"/>
        </w:rPr>
        <w:t>Drodz</w:t>
      </w:r>
      <w:proofErr w:type="spellEnd"/>
      <w:r>
        <w:rPr>
          <w:rFonts w:eastAsia="Calibri"/>
          <w:color w:val="000000"/>
          <w:sz w:val="22"/>
          <w:szCs w:val="22"/>
        </w:rPr>
        <w:t>: University of Lyon</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 xml:space="preserve">Mike </w:t>
      </w:r>
      <w:proofErr w:type="spellStart"/>
      <w:r>
        <w:rPr>
          <w:rFonts w:eastAsia="Calibri"/>
          <w:color w:val="000000"/>
          <w:sz w:val="22"/>
          <w:szCs w:val="22"/>
        </w:rPr>
        <w:t>Kiely</w:t>
      </w:r>
      <w:proofErr w:type="spellEnd"/>
      <w:r>
        <w:rPr>
          <w:rFonts w:eastAsia="Calibri"/>
          <w:color w:val="000000"/>
          <w:sz w:val="22"/>
          <w:szCs w:val="22"/>
        </w:rPr>
        <w:t>: CPO of LB Croydon and POS/ALBPO</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Mic</w:t>
      </w:r>
      <w:r w:rsidR="00EE196E">
        <w:rPr>
          <w:rFonts w:eastAsia="Calibri"/>
          <w:color w:val="000000"/>
          <w:sz w:val="22"/>
          <w:szCs w:val="22"/>
        </w:rPr>
        <w:t>h</w:t>
      </w:r>
      <w:r>
        <w:rPr>
          <w:rFonts w:eastAsia="Calibri"/>
          <w:color w:val="000000"/>
          <w:sz w:val="22"/>
          <w:szCs w:val="22"/>
        </w:rPr>
        <w:t>ael Bach: London Forum</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Mike Coupe: London Society and Coupe Planning</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Owen Wainhouse: RIBA</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 xml:space="preserve">Patrick Clarke: URS </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Sir Peter Hall: UCL</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Ron Heath: RIBA</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Tom Ball: London Forum</w:t>
      </w:r>
    </w:p>
    <w:p w:rsidR="007F184C" w:rsidRDefault="007F184C" w:rsidP="007F184C">
      <w:pPr>
        <w:autoSpaceDE w:val="0"/>
        <w:autoSpaceDN w:val="0"/>
        <w:adjustRightInd w:val="0"/>
        <w:ind w:left="2160"/>
        <w:rPr>
          <w:rFonts w:eastAsia="Calibri"/>
          <w:color w:val="000000"/>
          <w:sz w:val="22"/>
          <w:szCs w:val="22"/>
        </w:rPr>
      </w:pPr>
      <w:r>
        <w:rPr>
          <w:rFonts w:eastAsia="Calibri"/>
          <w:color w:val="000000"/>
          <w:sz w:val="22"/>
          <w:szCs w:val="22"/>
        </w:rPr>
        <w:t>Drummond Robson: Honorary Secretary and Robson Planning</w:t>
      </w:r>
    </w:p>
    <w:p w:rsidR="007F184C" w:rsidRDefault="007F184C" w:rsidP="007F184C"/>
    <w:p w:rsidR="00EE196E" w:rsidRDefault="00EE196E" w:rsidP="00EE196E">
      <w:pPr>
        <w:numPr>
          <w:ilvl w:val="0"/>
          <w:numId w:val="1"/>
        </w:numPr>
        <w:spacing w:after="120"/>
        <w:ind w:right="386"/>
        <w:rPr>
          <w:sz w:val="22"/>
        </w:rPr>
      </w:pPr>
      <w:r w:rsidRPr="003C4296">
        <w:rPr>
          <w:sz w:val="22"/>
        </w:rPr>
        <w:t>Introductions and Apologies.</w:t>
      </w:r>
    </w:p>
    <w:p w:rsidR="00EE196E" w:rsidRPr="00EE196E" w:rsidRDefault="00EE196E" w:rsidP="00EE196E">
      <w:pPr>
        <w:pStyle w:val="ListParagraph"/>
        <w:spacing w:after="120"/>
        <w:ind w:left="644" w:right="386"/>
        <w:rPr>
          <w:sz w:val="22"/>
        </w:rPr>
      </w:pPr>
      <w:r w:rsidRPr="00EE196E">
        <w:rPr>
          <w:sz w:val="22"/>
        </w:rPr>
        <w:t xml:space="preserve">Following normal Introductions and thanks to </w:t>
      </w:r>
      <w:r>
        <w:rPr>
          <w:sz w:val="22"/>
        </w:rPr>
        <w:t xml:space="preserve">Owen Wainhouse </w:t>
      </w:r>
      <w:r w:rsidRPr="00EE196E">
        <w:rPr>
          <w:sz w:val="22"/>
        </w:rPr>
        <w:t xml:space="preserve">for hosting and arranging the venue The Chairman introduced the </w:t>
      </w:r>
      <w:r>
        <w:rPr>
          <w:sz w:val="22"/>
        </w:rPr>
        <w:t xml:space="preserve">additional speaker Sir Peter Hall and the other speaker Mike </w:t>
      </w:r>
      <w:proofErr w:type="spellStart"/>
      <w:r>
        <w:rPr>
          <w:sz w:val="22"/>
        </w:rPr>
        <w:t>Kiely</w:t>
      </w:r>
      <w:proofErr w:type="spellEnd"/>
      <w:r>
        <w:rPr>
          <w:sz w:val="22"/>
        </w:rPr>
        <w:t>, Andy von Bradsky of PRP Architects and Duncan Bowie</w:t>
      </w:r>
      <w:r w:rsidRPr="00EE196E">
        <w:rPr>
          <w:sz w:val="22"/>
        </w:rPr>
        <w:t xml:space="preserve">. Apologies were received from </w:t>
      </w:r>
      <w:r>
        <w:rPr>
          <w:sz w:val="22"/>
        </w:rPr>
        <w:t xml:space="preserve">David Bradley, </w:t>
      </w:r>
      <w:r w:rsidRPr="00EE196E">
        <w:rPr>
          <w:sz w:val="22"/>
        </w:rPr>
        <w:t xml:space="preserve">Emma Fitzgibbon, </w:t>
      </w:r>
      <w:proofErr w:type="spellStart"/>
      <w:r>
        <w:rPr>
          <w:sz w:val="22"/>
        </w:rPr>
        <w:t>Ghislane</w:t>
      </w:r>
      <w:proofErr w:type="spellEnd"/>
      <w:r>
        <w:rPr>
          <w:sz w:val="22"/>
        </w:rPr>
        <w:t xml:space="preserve"> </w:t>
      </w:r>
      <w:proofErr w:type="spellStart"/>
      <w:r>
        <w:rPr>
          <w:sz w:val="22"/>
        </w:rPr>
        <w:t>Trahearne</w:t>
      </w:r>
      <w:proofErr w:type="spellEnd"/>
      <w:r>
        <w:rPr>
          <w:sz w:val="22"/>
        </w:rPr>
        <w:t xml:space="preserve">, Jennifer Peters, Jonathan Manns, Judith Ryser, </w:t>
      </w:r>
      <w:r w:rsidRPr="00EE196E">
        <w:rPr>
          <w:sz w:val="22"/>
        </w:rPr>
        <w:t xml:space="preserve">Michael Chang, </w:t>
      </w:r>
      <w:r>
        <w:rPr>
          <w:sz w:val="22"/>
        </w:rPr>
        <w:t xml:space="preserve">and Miranda </w:t>
      </w:r>
      <w:proofErr w:type="spellStart"/>
      <w:r>
        <w:rPr>
          <w:sz w:val="22"/>
        </w:rPr>
        <w:t>Housden</w:t>
      </w:r>
      <w:proofErr w:type="spellEnd"/>
      <w:r>
        <w:rPr>
          <w:sz w:val="22"/>
        </w:rPr>
        <w:t>.</w:t>
      </w:r>
    </w:p>
    <w:p w:rsidR="00EE196E" w:rsidRDefault="00EE196E" w:rsidP="00EE196E">
      <w:pPr>
        <w:rPr>
          <w:sz w:val="22"/>
        </w:rPr>
      </w:pPr>
    </w:p>
    <w:p w:rsidR="00EE196E" w:rsidRDefault="00EE196E" w:rsidP="00EE196E">
      <w:pPr>
        <w:pStyle w:val="ListParagraph"/>
        <w:numPr>
          <w:ilvl w:val="0"/>
          <w:numId w:val="1"/>
        </w:numPr>
      </w:pPr>
      <w:r w:rsidRPr="00F968EB">
        <w:rPr>
          <w:sz w:val="22"/>
        </w:rPr>
        <w:t>DISCUSSION TOPICS</w:t>
      </w:r>
    </w:p>
    <w:p w:rsidR="00C70151" w:rsidRDefault="00C70151" w:rsidP="00EE196E">
      <w:pPr>
        <w:pStyle w:val="ListParagraph"/>
        <w:ind w:left="1004" w:right="386"/>
        <w:rPr>
          <w:sz w:val="22"/>
        </w:rPr>
      </w:pPr>
    </w:p>
    <w:p w:rsidR="00EE196E" w:rsidRDefault="00EE196E" w:rsidP="00EE196E">
      <w:pPr>
        <w:pStyle w:val="ListParagraph"/>
        <w:numPr>
          <w:ilvl w:val="0"/>
          <w:numId w:val="2"/>
        </w:numPr>
        <w:autoSpaceDE w:val="0"/>
        <w:autoSpaceDN w:val="0"/>
        <w:adjustRightInd w:val="0"/>
        <w:ind w:right="386"/>
        <w:rPr>
          <w:rFonts w:eastAsia="Calibri"/>
          <w:color w:val="000000"/>
          <w:sz w:val="22"/>
          <w:szCs w:val="22"/>
        </w:rPr>
      </w:pPr>
      <w:r w:rsidRPr="00EE196E">
        <w:rPr>
          <w:sz w:val="22"/>
        </w:rPr>
        <w:t xml:space="preserve">New Towns and New Growth </w:t>
      </w:r>
      <w:proofErr w:type="gramStart"/>
      <w:r w:rsidRPr="00EE196E">
        <w:rPr>
          <w:sz w:val="22"/>
        </w:rPr>
        <w:t>Outside</w:t>
      </w:r>
      <w:proofErr w:type="gramEnd"/>
      <w:r w:rsidRPr="00EE196E">
        <w:rPr>
          <w:sz w:val="22"/>
        </w:rPr>
        <w:t xml:space="preserve"> London: Meeting London’s Need to Grow beyond its boundaries. </w:t>
      </w:r>
      <w:r w:rsidRPr="00EE196E">
        <w:rPr>
          <w:rFonts w:eastAsia="Calibri"/>
          <w:color w:val="000000"/>
          <w:sz w:val="22"/>
          <w:szCs w:val="22"/>
        </w:rPr>
        <w:t>Andy von Bradsky: Chairman PRP Architects</w:t>
      </w:r>
      <w:r w:rsidR="00C70151">
        <w:rPr>
          <w:rFonts w:eastAsia="Calibri"/>
          <w:color w:val="000000"/>
          <w:sz w:val="22"/>
          <w:szCs w:val="22"/>
        </w:rPr>
        <w:t>, Duncan Bowie, Sir Peter Hall.</w:t>
      </w:r>
    </w:p>
    <w:p w:rsidR="0024712E" w:rsidRPr="00EE196E" w:rsidRDefault="0024712E" w:rsidP="0024712E">
      <w:pPr>
        <w:pStyle w:val="ListParagraph"/>
        <w:autoSpaceDE w:val="0"/>
        <w:autoSpaceDN w:val="0"/>
        <w:adjustRightInd w:val="0"/>
        <w:ind w:left="1004" w:right="386"/>
        <w:rPr>
          <w:rFonts w:eastAsia="Calibri"/>
          <w:color w:val="000000"/>
          <w:sz w:val="22"/>
          <w:szCs w:val="22"/>
        </w:rPr>
      </w:pPr>
    </w:p>
    <w:p w:rsidR="0024712E" w:rsidRDefault="0024712E" w:rsidP="0024712E">
      <w:pPr>
        <w:pStyle w:val="ListParagraph"/>
        <w:numPr>
          <w:ilvl w:val="0"/>
          <w:numId w:val="2"/>
        </w:numPr>
        <w:ind w:right="386"/>
        <w:rPr>
          <w:sz w:val="22"/>
        </w:rPr>
      </w:pPr>
      <w:r w:rsidRPr="00D8764C">
        <w:rPr>
          <w:sz w:val="22"/>
        </w:rPr>
        <w:t xml:space="preserve">Impact of NPPF on Borough Plans </w:t>
      </w:r>
    </w:p>
    <w:p w:rsidR="0024712E" w:rsidRDefault="0024712E" w:rsidP="0024712E">
      <w:pPr>
        <w:pStyle w:val="ListParagraph"/>
        <w:ind w:left="1004" w:right="386"/>
        <w:rPr>
          <w:sz w:val="22"/>
        </w:rPr>
      </w:pPr>
      <w:r w:rsidRPr="00C4160F">
        <w:rPr>
          <w:sz w:val="22"/>
        </w:rPr>
        <w:t xml:space="preserve">Mike </w:t>
      </w:r>
      <w:proofErr w:type="spellStart"/>
      <w:r w:rsidRPr="00C4160F">
        <w:rPr>
          <w:sz w:val="22"/>
        </w:rPr>
        <w:t>Kiely</w:t>
      </w:r>
      <w:proofErr w:type="spellEnd"/>
      <w:r w:rsidRPr="00C4160F">
        <w:rPr>
          <w:sz w:val="22"/>
        </w:rPr>
        <w:t xml:space="preserve"> </w:t>
      </w:r>
      <w:r>
        <w:rPr>
          <w:sz w:val="22"/>
        </w:rPr>
        <w:t xml:space="preserve">CPO of LB Croydon and POS/ALBPO </w:t>
      </w:r>
      <w:r w:rsidRPr="00C4160F">
        <w:rPr>
          <w:sz w:val="22"/>
        </w:rPr>
        <w:t>introduce</w:t>
      </w:r>
      <w:r>
        <w:rPr>
          <w:sz w:val="22"/>
        </w:rPr>
        <w:t>d</w:t>
      </w:r>
      <w:r w:rsidRPr="00C4160F">
        <w:rPr>
          <w:sz w:val="22"/>
        </w:rPr>
        <w:t xml:space="preserve"> </w:t>
      </w:r>
      <w:r>
        <w:rPr>
          <w:sz w:val="22"/>
        </w:rPr>
        <w:t>the topic.</w:t>
      </w:r>
      <w:r w:rsidRPr="00B24740">
        <w:rPr>
          <w:sz w:val="22"/>
        </w:rPr>
        <w:t xml:space="preserve">  </w:t>
      </w:r>
    </w:p>
    <w:p w:rsidR="00EE196E" w:rsidRDefault="00EE196E" w:rsidP="00EE196E">
      <w:pPr>
        <w:ind w:left="738"/>
        <w:rPr>
          <w:sz w:val="22"/>
        </w:rPr>
      </w:pPr>
    </w:p>
    <w:p w:rsidR="0024712E" w:rsidRPr="0024712E" w:rsidRDefault="0024712E" w:rsidP="00DF6418">
      <w:pPr>
        <w:rPr>
          <w:b/>
          <w:sz w:val="22"/>
        </w:rPr>
      </w:pPr>
      <w:proofErr w:type="gramStart"/>
      <w:r w:rsidRPr="0024712E">
        <w:rPr>
          <w:b/>
          <w:sz w:val="22"/>
        </w:rPr>
        <w:t>Discussion Topic a.</w:t>
      </w:r>
      <w:proofErr w:type="gramEnd"/>
      <w:r w:rsidRPr="0024712E">
        <w:rPr>
          <w:b/>
          <w:sz w:val="22"/>
        </w:rPr>
        <w:t xml:space="preserve"> </w:t>
      </w:r>
    </w:p>
    <w:p w:rsidR="00DF6418" w:rsidRPr="00DF6418" w:rsidRDefault="00685AC1" w:rsidP="00DF6418">
      <w:pPr>
        <w:rPr>
          <w:sz w:val="22"/>
        </w:rPr>
      </w:pPr>
      <w:r>
        <w:rPr>
          <w:sz w:val="22"/>
        </w:rPr>
        <w:t xml:space="preserve">Andy von Bradsky entitled his introduction new housing growth outside London. </w:t>
      </w:r>
      <w:r w:rsidR="00DF6418">
        <w:rPr>
          <w:sz w:val="22"/>
        </w:rPr>
        <w:t xml:space="preserve">He contrasted the situation with </w:t>
      </w:r>
      <w:r w:rsidR="00DF6418" w:rsidRPr="00DF6418">
        <w:rPr>
          <w:sz w:val="22"/>
        </w:rPr>
        <w:t xml:space="preserve">London </w:t>
      </w:r>
      <w:r w:rsidR="00DF6418">
        <w:rPr>
          <w:sz w:val="22"/>
        </w:rPr>
        <w:t>which is investment led as a</w:t>
      </w:r>
      <w:r w:rsidR="00DF6418" w:rsidRPr="00DF6418">
        <w:rPr>
          <w:sz w:val="22"/>
        </w:rPr>
        <w:t xml:space="preserve"> separate market to UK, continued buoyancy relative to rest of UK. House prices continue to rise, 10% above the 2007 peak.</w:t>
      </w:r>
    </w:p>
    <w:p w:rsidR="00DF6418" w:rsidRPr="00DF6418" w:rsidRDefault="00DF6418" w:rsidP="00DF6418">
      <w:pPr>
        <w:rPr>
          <w:sz w:val="22"/>
        </w:rPr>
      </w:pPr>
      <w:r w:rsidRPr="00DF6418">
        <w:rPr>
          <w:sz w:val="22"/>
        </w:rPr>
        <w:t xml:space="preserve">Outside of London </w:t>
      </w:r>
      <w:proofErr w:type="gramStart"/>
      <w:r w:rsidRPr="00DF6418">
        <w:rPr>
          <w:sz w:val="22"/>
        </w:rPr>
        <w:t>-  improvements</w:t>
      </w:r>
      <w:proofErr w:type="gramEnd"/>
      <w:r w:rsidRPr="00DF6418">
        <w:rPr>
          <w:sz w:val="22"/>
        </w:rPr>
        <w:t xml:space="preserve"> in the market on a year ago but patchy, location sensitive, house prices on average 5% below peak. Savills reporting a ripple effect of house price growth outside London. </w:t>
      </w:r>
    </w:p>
    <w:p w:rsidR="00DF6418" w:rsidRDefault="00DF6418" w:rsidP="00DF6418">
      <w:pPr>
        <w:rPr>
          <w:sz w:val="22"/>
        </w:rPr>
      </w:pPr>
    </w:p>
    <w:p w:rsidR="00685AC1" w:rsidRDefault="00DF6418" w:rsidP="00DF6418">
      <w:pPr>
        <w:rPr>
          <w:sz w:val="22"/>
        </w:rPr>
      </w:pPr>
      <w:r>
        <w:rPr>
          <w:sz w:val="22"/>
        </w:rPr>
        <w:t>He</w:t>
      </w:r>
      <w:r w:rsidR="00685AC1">
        <w:rPr>
          <w:sz w:val="22"/>
        </w:rPr>
        <w:t xml:space="preserve"> gave a market view of the situation. It is characterised by </w:t>
      </w:r>
    </w:p>
    <w:p w:rsidR="005B0E28" w:rsidRPr="00685AC1" w:rsidRDefault="00691030" w:rsidP="00685AC1">
      <w:pPr>
        <w:numPr>
          <w:ilvl w:val="0"/>
          <w:numId w:val="3"/>
        </w:numPr>
        <w:tabs>
          <w:tab w:val="num" w:pos="720"/>
        </w:tabs>
        <w:rPr>
          <w:sz w:val="22"/>
        </w:rPr>
      </w:pPr>
      <w:r w:rsidRPr="00685AC1">
        <w:rPr>
          <w:sz w:val="22"/>
        </w:rPr>
        <w:t>Slow recovery</w:t>
      </w:r>
      <w:r w:rsidR="00685AC1">
        <w:rPr>
          <w:sz w:val="22"/>
        </w:rPr>
        <w:t xml:space="preserve"> with a slow rate of building</w:t>
      </w:r>
    </w:p>
    <w:p w:rsidR="005B0E28" w:rsidRPr="00685AC1" w:rsidRDefault="00685AC1" w:rsidP="00685AC1">
      <w:pPr>
        <w:numPr>
          <w:ilvl w:val="0"/>
          <w:numId w:val="3"/>
        </w:numPr>
        <w:tabs>
          <w:tab w:val="num" w:pos="720"/>
        </w:tabs>
        <w:rPr>
          <w:sz w:val="22"/>
        </w:rPr>
      </w:pPr>
      <w:r>
        <w:rPr>
          <w:sz w:val="22"/>
        </w:rPr>
        <w:lastRenderedPageBreak/>
        <w:t xml:space="preserve">Issues of </w:t>
      </w:r>
      <w:r w:rsidR="00691030" w:rsidRPr="00685AC1">
        <w:rPr>
          <w:sz w:val="22"/>
        </w:rPr>
        <w:t xml:space="preserve">Viability </w:t>
      </w:r>
    </w:p>
    <w:p w:rsidR="005B0E28" w:rsidRPr="00685AC1" w:rsidRDefault="00691030" w:rsidP="00685AC1">
      <w:pPr>
        <w:numPr>
          <w:ilvl w:val="0"/>
          <w:numId w:val="3"/>
        </w:numPr>
        <w:tabs>
          <w:tab w:val="num" w:pos="720"/>
        </w:tabs>
        <w:rPr>
          <w:sz w:val="22"/>
        </w:rPr>
      </w:pPr>
      <w:r w:rsidRPr="00685AC1">
        <w:rPr>
          <w:sz w:val="22"/>
        </w:rPr>
        <w:t xml:space="preserve">Location sensitive - A2 </w:t>
      </w:r>
      <w:proofErr w:type="spellStart"/>
      <w:r w:rsidRPr="00685AC1">
        <w:rPr>
          <w:sz w:val="22"/>
        </w:rPr>
        <w:t>vs</w:t>
      </w:r>
      <w:proofErr w:type="spellEnd"/>
      <w:r w:rsidRPr="00685AC1">
        <w:rPr>
          <w:sz w:val="22"/>
        </w:rPr>
        <w:t xml:space="preserve"> A3</w:t>
      </w:r>
      <w:r w:rsidR="00685AC1">
        <w:rPr>
          <w:sz w:val="22"/>
        </w:rPr>
        <w:t xml:space="preserve"> A2 offering low value but high growth potential and A3 offering the opposite.</w:t>
      </w:r>
      <w:r w:rsidRPr="00685AC1">
        <w:rPr>
          <w:sz w:val="22"/>
        </w:rPr>
        <w:t xml:space="preserve"> </w:t>
      </w:r>
    </w:p>
    <w:p w:rsidR="005B0E28" w:rsidRPr="00685AC1" w:rsidRDefault="00685AC1" w:rsidP="00685AC1">
      <w:pPr>
        <w:numPr>
          <w:ilvl w:val="0"/>
          <w:numId w:val="3"/>
        </w:numPr>
        <w:tabs>
          <w:tab w:val="num" w:pos="720"/>
        </w:tabs>
        <w:rPr>
          <w:sz w:val="22"/>
        </w:rPr>
      </w:pPr>
      <w:r>
        <w:rPr>
          <w:sz w:val="22"/>
        </w:rPr>
        <w:t xml:space="preserve">Providing predominantly for a niche of </w:t>
      </w:r>
      <w:r w:rsidR="00691030" w:rsidRPr="00685AC1">
        <w:rPr>
          <w:sz w:val="22"/>
        </w:rPr>
        <w:t xml:space="preserve">Equity rich customers </w:t>
      </w:r>
    </w:p>
    <w:p w:rsidR="005B0E28" w:rsidRPr="00685AC1" w:rsidRDefault="00691030" w:rsidP="00685AC1">
      <w:pPr>
        <w:numPr>
          <w:ilvl w:val="0"/>
          <w:numId w:val="3"/>
        </w:numPr>
        <w:tabs>
          <w:tab w:val="num" w:pos="720"/>
        </w:tabs>
        <w:rPr>
          <w:sz w:val="22"/>
        </w:rPr>
      </w:pPr>
      <w:r w:rsidRPr="00685AC1">
        <w:rPr>
          <w:sz w:val="22"/>
        </w:rPr>
        <w:t>Typologies - flats and houses</w:t>
      </w:r>
    </w:p>
    <w:p w:rsidR="005B0E28" w:rsidRPr="00685AC1" w:rsidRDefault="00691030" w:rsidP="00685AC1">
      <w:pPr>
        <w:numPr>
          <w:ilvl w:val="0"/>
          <w:numId w:val="3"/>
        </w:numPr>
        <w:tabs>
          <w:tab w:val="num" w:pos="720"/>
        </w:tabs>
        <w:rPr>
          <w:sz w:val="22"/>
        </w:rPr>
      </w:pPr>
      <w:r w:rsidRPr="00685AC1">
        <w:rPr>
          <w:sz w:val="22"/>
        </w:rPr>
        <w:t>Rate of Sale</w:t>
      </w:r>
    </w:p>
    <w:p w:rsidR="005B0E28" w:rsidRDefault="00691030" w:rsidP="00685AC1">
      <w:pPr>
        <w:numPr>
          <w:ilvl w:val="0"/>
          <w:numId w:val="3"/>
        </w:numPr>
        <w:tabs>
          <w:tab w:val="num" w:pos="720"/>
        </w:tabs>
        <w:rPr>
          <w:sz w:val="22"/>
        </w:rPr>
      </w:pPr>
      <w:proofErr w:type="spellStart"/>
      <w:r w:rsidRPr="00685AC1">
        <w:rPr>
          <w:sz w:val="22"/>
        </w:rPr>
        <w:t>Housebuilder</w:t>
      </w:r>
      <w:proofErr w:type="spellEnd"/>
      <w:r w:rsidRPr="00685AC1">
        <w:rPr>
          <w:sz w:val="22"/>
        </w:rPr>
        <w:t xml:space="preserve"> drivers -  margins</w:t>
      </w:r>
    </w:p>
    <w:p w:rsidR="00EC0C06" w:rsidRDefault="00EC0C06" w:rsidP="00685AC1">
      <w:pPr>
        <w:rPr>
          <w:sz w:val="22"/>
        </w:rPr>
      </w:pPr>
    </w:p>
    <w:p w:rsidR="00EC0C06" w:rsidRDefault="00EC0C06" w:rsidP="00685AC1">
      <w:pPr>
        <w:rPr>
          <w:sz w:val="22"/>
        </w:rPr>
      </w:pPr>
      <w:proofErr w:type="spellStart"/>
      <w:r>
        <w:rPr>
          <w:sz w:val="22"/>
        </w:rPr>
        <w:t>AvB</w:t>
      </w:r>
      <w:proofErr w:type="spellEnd"/>
      <w:r>
        <w:rPr>
          <w:sz w:val="22"/>
        </w:rPr>
        <w:t xml:space="preserve"> saw planning as a maze with little that is straightforward. </w:t>
      </w:r>
    </w:p>
    <w:p w:rsidR="00EC0C06" w:rsidRDefault="00EC0C06" w:rsidP="00685AC1">
      <w:pPr>
        <w:rPr>
          <w:sz w:val="22"/>
        </w:rPr>
      </w:pPr>
    </w:p>
    <w:p w:rsidR="00685AC1" w:rsidRDefault="00685AC1" w:rsidP="00685AC1">
      <w:pPr>
        <w:rPr>
          <w:sz w:val="22"/>
        </w:rPr>
      </w:pPr>
      <w:r>
        <w:rPr>
          <w:sz w:val="22"/>
        </w:rPr>
        <w:t xml:space="preserve">Examples of active areas </w:t>
      </w:r>
      <w:r w:rsidR="00EC0C06">
        <w:rPr>
          <w:sz w:val="22"/>
        </w:rPr>
        <w:t xml:space="preserve">– all private </w:t>
      </w:r>
      <w:proofErr w:type="gramStart"/>
      <w:r w:rsidR="00EC0C06">
        <w:rPr>
          <w:sz w:val="22"/>
        </w:rPr>
        <w:t>sector</w:t>
      </w:r>
      <w:proofErr w:type="gramEnd"/>
      <w:r w:rsidR="00EC0C06">
        <w:rPr>
          <w:sz w:val="22"/>
        </w:rPr>
        <w:t xml:space="preserve"> led - </w:t>
      </w:r>
      <w:r>
        <w:rPr>
          <w:sz w:val="22"/>
        </w:rPr>
        <w:t xml:space="preserve">currently include Aylesbury, Buckingham, </w:t>
      </w:r>
      <w:proofErr w:type="spellStart"/>
      <w:r>
        <w:rPr>
          <w:sz w:val="22"/>
        </w:rPr>
        <w:t>Bicester</w:t>
      </w:r>
      <w:proofErr w:type="spellEnd"/>
      <w:r>
        <w:rPr>
          <w:sz w:val="22"/>
        </w:rPr>
        <w:t xml:space="preserve"> and Cambridge (</w:t>
      </w:r>
      <w:proofErr w:type="spellStart"/>
      <w:r>
        <w:rPr>
          <w:sz w:val="22"/>
        </w:rPr>
        <w:t>No</w:t>
      </w:r>
      <w:r w:rsidR="00EC0C06">
        <w:rPr>
          <w:sz w:val="22"/>
        </w:rPr>
        <w:t>rths</w:t>
      </w:r>
      <w:r>
        <w:rPr>
          <w:sz w:val="22"/>
        </w:rPr>
        <w:t>towe</w:t>
      </w:r>
      <w:proofErr w:type="spellEnd"/>
      <w:r>
        <w:rPr>
          <w:sz w:val="22"/>
        </w:rPr>
        <w:t xml:space="preserve"> </w:t>
      </w:r>
      <w:r w:rsidR="00EC0C06" w:rsidRPr="00EC0C06">
        <w:rPr>
          <w:sz w:val="22"/>
        </w:rPr>
        <w:t>South East, South, North West</w:t>
      </w:r>
      <w:r w:rsidR="00EC0C06">
        <w:rPr>
          <w:sz w:val="22"/>
        </w:rPr>
        <w:t xml:space="preserve"> </w:t>
      </w:r>
      <w:r>
        <w:rPr>
          <w:sz w:val="22"/>
        </w:rPr>
        <w:t xml:space="preserve">and Clay Farm). He </w:t>
      </w:r>
      <w:r w:rsidR="00EC0C06">
        <w:rPr>
          <w:sz w:val="22"/>
        </w:rPr>
        <w:t>asked if Harlow would be next.</w:t>
      </w:r>
      <w:r>
        <w:rPr>
          <w:sz w:val="22"/>
        </w:rPr>
        <w:t xml:space="preserve"> Work is more at the margins than delivery of high volumes of new accommodation.</w:t>
      </w:r>
    </w:p>
    <w:p w:rsidR="00DF6418" w:rsidRDefault="00DF6418" w:rsidP="00685AC1">
      <w:pPr>
        <w:rPr>
          <w:sz w:val="22"/>
        </w:rPr>
      </w:pPr>
    </w:p>
    <w:p w:rsidR="00CE3E65" w:rsidRDefault="00CE3E65" w:rsidP="00DF6418">
      <w:pPr>
        <w:rPr>
          <w:sz w:val="22"/>
        </w:rPr>
      </w:pPr>
      <w:r w:rsidRPr="00CE3E65">
        <w:rPr>
          <w:sz w:val="22"/>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70pt" o:ole="">
            <v:imagedata r:id="rId7" o:title=""/>
          </v:shape>
          <o:OLEObject Type="Embed" ProgID="PowerPoint.Slide.12" ShapeID="_x0000_i1025" DrawAspect="Content" ObjectID="_1410189130" r:id="rId8"/>
        </w:object>
      </w:r>
    </w:p>
    <w:p w:rsidR="00CE3E65" w:rsidRDefault="00CE3E65" w:rsidP="00DF6418">
      <w:pPr>
        <w:rPr>
          <w:sz w:val="22"/>
        </w:rPr>
      </w:pPr>
    </w:p>
    <w:p w:rsidR="00EC0C06" w:rsidRDefault="00DF6418" w:rsidP="00DF6418">
      <w:pPr>
        <w:rPr>
          <w:sz w:val="22"/>
        </w:rPr>
      </w:pPr>
      <w:r w:rsidRPr="00DF6418">
        <w:rPr>
          <w:sz w:val="22"/>
        </w:rPr>
        <w:t xml:space="preserve">Politics in London is different to Home Counties </w:t>
      </w:r>
      <w:r>
        <w:rPr>
          <w:sz w:val="22"/>
        </w:rPr>
        <w:t>with</w:t>
      </w:r>
      <w:r w:rsidRPr="00DF6418">
        <w:rPr>
          <w:sz w:val="22"/>
        </w:rPr>
        <w:t xml:space="preserve"> greater voter </w:t>
      </w:r>
      <w:proofErr w:type="spellStart"/>
      <w:r w:rsidRPr="00DF6418">
        <w:rPr>
          <w:sz w:val="22"/>
        </w:rPr>
        <w:t>turn out</w:t>
      </w:r>
      <w:proofErr w:type="spellEnd"/>
      <w:r w:rsidRPr="00DF6418">
        <w:rPr>
          <w:sz w:val="22"/>
        </w:rPr>
        <w:t xml:space="preserve"> in latter so planning and politics intertwine to greater degree.</w:t>
      </w:r>
      <w:r>
        <w:rPr>
          <w:sz w:val="22"/>
        </w:rPr>
        <w:t xml:space="preserve"> </w:t>
      </w:r>
      <w:r w:rsidRPr="00DF6418">
        <w:rPr>
          <w:sz w:val="22"/>
        </w:rPr>
        <w:t>London has a strategic plan – Home Counties do not, so issues are dealt with Council by Council.</w:t>
      </w:r>
      <w:r>
        <w:rPr>
          <w:sz w:val="22"/>
        </w:rPr>
        <w:t xml:space="preserve"> He saw n</w:t>
      </w:r>
      <w:r w:rsidRPr="00DF6418">
        <w:rPr>
          <w:sz w:val="22"/>
        </w:rPr>
        <w:t xml:space="preserve">o great change yet due to NPPF – more appeals (in favour of NPPF), upheaval of the planning system has impacted on speed of determination. Neighbourhood </w:t>
      </w:r>
    </w:p>
    <w:p w:rsidR="00EC0C06" w:rsidRDefault="00EC0C06" w:rsidP="00DF6418">
      <w:pPr>
        <w:rPr>
          <w:sz w:val="22"/>
        </w:rPr>
      </w:pPr>
    </w:p>
    <w:p w:rsidR="00DF6418" w:rsidRPr="00DF6418" w:rsidRDefault="00DF6418" w:rsidP="00DF6418">
      <w:pPr>
        <w:rPr>
          <w:sz w:val="22"/>
        </w:rPr>
      </w:pPr>
      <w:r w:rsidRPr="00DF6418">
        <w:rPr>
          <w:sz w:val="22"/>
        </w:rPr>
        <w:t xml:space="preserve">Plans </w:t>
      </w:r>
      <w:r>
        <w:rPr>
          <w:sz w:val="22"/>
        </w:rPr>
        <w:t xml:space="preserve">are </w:t>
      </w:r>
      <w:r w:rsidRPr="00DF6418">
        <w:rPr>
          <w:sz w:val="22"/>
        </w:rPr>
        <w:t>being prepare</w:t>
      </w:r>
      <w:r>
        <w:rPr>
          <w:sz w:val="22"/>
        </w:rPr>
        <w:t xml:space="preserve">d to counter new development (Tony </w:t>
      </w:r>
      <w:proofErr w:type="spellStart"/>
      <w:r w:rsidRPr="00DF6418">
        <w:rPr>
          <w:sz w:val="22"/>
        </w:rPr>
        <w:t>Pidgeley</w:t>
      </w:r>
      <w:proofErr w:type="spellEnd"/>
      <w:r>
        <w:rPr>
          <w:sz w:val="22"/>
        </w:rPr>
        <w:t xml:space="preserve"> of Berkeley Homes</w:t>
      </w:r>
      <w:r w:rsidRPr="00DF6418">
        <w:rPr>
          <w:sz w:val="22"/>
        </w:rPr>
        <w:t>)</w:t>
      </w:r>
      <w:r>
        <w:rPr>
          <w:sz w:val="22"/>
        </w:rPr>
        <w:t>.</w:t>
      </w:r>
    </w:p>
    <w:p w:rsidR="00DF6418" w:rsidRPr="00DF6418" w:rsidRDefault="00DF6418" w:rsidP="00DF6418">
      <w:pPr>
        <w:rPr>
          <w:sz w:val="22"/>
        </w:rPr>
      </w:pPr>
      <w:r w:rsidRPr="00DF6418">
        <w:rPr>
          <w:sz w:val="22"/>
        </w:rPr>
        <w:t xml:space="preserve">Local Plans being either written or recycling existing Core Strategies </w:t>
      </w:r>
      <w:r>
        <w:rPr>
          <w:sz w:val="22"/>
        </w:rPr>
        <w:t xml:space="preserve">leading to the cut off date </w:t>
      </w:r>
      <w:proofErr w:type="gramStart"/>
      <w:r>
        <w:rPr>
          <w:sz w:val="22"/>
        </w:rPr>
        <w:t xml:space="preserve">of </w:t>
      </w:r>
      <w:r w:rsidRPr="00DF6418">
        <w:rPr>
          <w:sz w:val="22"/>
        </w:rPr>
        <w:t xml:space="preserve"> March</w:t>
      </w:r>
      <w:proofErr w:type="gramEnd"/>
      <w:r w:rsidRPr="00DF6418">
        <w:rPr>
          <w:sz w:val="22"/>
        </w:rPr>
        <w:t xml:space="preserve"> 2013</w:t>
      </w:r>
      <w:r>
        <w:rPr>
          <w:sz w:val="22"/>
        </w:rPr>
        <w:t xml:space="preserve"> when challenges to out of date plans are to be expected</w:t>
      </w:r>
      <w:r w:rsidRPr="00DF6418">
        <w:rPr>
          <w:sz w:val="22"/>
        </w:rPr>
        <w:t xml:space="preserve">. Former Growth Areas that straddle political boundaries </w:t>
      </w:r>
      <w:proofErr w:type="spellStart"/>
      <w:r w:rsidRPr="00DF6418">
        <w:rPr>
          <w:sz w:val="22"/>
        </w:rPr>
        <w:t>eg</w:t>
      </w:r>
      <w:proofErr w:type="spellEnd"/>
      <w:r w:rsidRPr="00DF6418">
        <w:rPr>
          <w:sz w:val="22"/>
        </w:rPr>
        <w:t xml:space="preserve"> Bedfordshire and Luton – the latter disagreeing with the old </w:t>
      </w:r>
      <w:r w:rsidR="00EC0C06" w:rsidRPr="00DF6418">
        <w:rPr>
          <w:sz w:val="22"/>
        </w:rPr>
        <w:t>strategy</w:t>
      </w:r>
      <w:r w:rsidRPr="00DF6418">
        <w:rPr>
          <w:sz w:val="22"/>
        </w:rPr>
        <w:t xml:space="preserve"> and the former being happy with it.</w:t>
      </w:r>
      <w:r w:rsidR="00EC0C06">
        <w:rPr>
          <w:sz w:val="22"/>
        </w:rPr>
        <w:t xml:space="preserve"> We are y</w:t>
      </w:r>
      <w:r w:rsidRPr="00DF6418">
        <w:rPr>
          <w:sz w:val="22"/>
        </w:rPr>
        <w:t>et to see impact of New Homes Bonus to motivate Councils.</w:t>
      </w:r>
    </w:p>
    <w:p w:rsidR="00EC0C06" w:rsidRDefault="00EC0C06" w:rsidP="00DF6418">
      <w:pPr>
        <w:rPr>
          <w:sz w:val="22"/>
        </w:rPr>
      </w:pPr>
    </w:p>
    <w:p w:rsidR="00187CC1" w:rsidRPr="00187CC1" w:rsidRDefault="00187CC1" w:rsidP="00187CC1">
      <w:pPr>
        <w:rPr>
          <w:sz w:val="22"/>
        </w:rPr>
      </w:pPr>
      <w:r w:rsidRPr="00187CC1">
        <w:rPr>
          <w:sz w:val="22"/>
        </w:rPr>
        <w:t xml:space="preserve">Eco-towns </w:t>
      </w:r>
      <w:r>
        <w:rPr>
          <w:sz w:val="22"/>
        </w:rPr>
        <w:t xml:space="preserve">have </w:t>
      </w:r>
      <w:r w:rsidRPr="00187CC1">
        <w:rPr>
          <w:sz w:val="22"/>
        </w:rPr>
        <w:t xml:space="preserve">mostly stalled. </w:t>
      </w:r>
      <w:proofErr w:type="spellStart"/>
      <w:r w:rsidRPr="00187CC1">
        <w:rPr>
          <w:sz w:val="22"/>
        </w:rPr>
        <w:t>Bicester</w:t>
      </w:r>
      <w:proofErr w:type="spellEnd"/>
      <w:r w:rsidRPr="00187CC1">
        <w:rPr>
          <w:sz w:val="22"/>
        </w:rPr>
        <w:t xml:space="preserve"> has seen a watering down of standards.</w:t>
      </w:r>
    </w:p>
    <w:p w:rsidR="00187CC1" w:rsidRPr="00187CC1" w:rsidRDefault="00187CC1" w:rsidP="00187CC1">
      <w:pPr>
        <w:rPr>
          <w:sz w:val="22"/>
        </w:rPr>
      </w:pPr>
      <w:r w:rsidRPr="00187CC1">
        <w:rPr>
          <w:sz w:val="22"/>
        </w:rPr>
        <w:t>Providing employment uses and work spaces within homes.</w:t>
      </w:r>
      <w:r>
        <w:rPr>
          <w:sz w:val="22"/>
        </w:rPr>
        <w:t xml:space="preserve"> </w:t>
      </w:r>
      <w:proofErr w:type="gramStart"/>
      <w:r w:rsidRPr="00187CC1">
        <w:rPr>
          <w:sz w:val="22"/>
        </w:rPr>
        <w:t>Layouts for solar access.</w:t>
      </w:r>
      <w:proofErr w:type="gramEnd"/>
    </w:p>
    <w:p w:rsidR="00187CC1" w:rsidRPr="00187CC1" w:rsidRDefault="00187CC1" w:rsidP="00187CC1">
      <w:pPr>
        <w:rPr>
          <w:sz w:val="22"/>
        </w:rPr>
      </w:pPr>
      <w:proofErr w:type="gramStart"/>
      <w:r w:rsidRPr="00187CC1">
        <w:rPr>
          <w:sz w:val="22"/>
        </w:rPr>
        <w:t>Achieving an optimum social mix.</w:t>
      </w:r>
      <w:proofErr w:type="gramEnd"/>
    </w:p>
    <w:p w:rsidR="00187CC1" w:rsidRDefault="00187CC1" w:rsidP="00187CC1">
      <w:pPr>
        <w:rPr>
          <w:sz w:val="22"/>
        </w:rPr>
      </w:pPr>
      <w:r w:rsidRPr="00187CC1">
        <w:rPr>
          <w:sz w:val="22"/>
        </w:rPr>
        <w:t xml:space="preserve"> </w:t>
      </w:r>
    </w:p>
    <w:p w:rsidR="00187CC1" w:rsidRDefault="00187CC1" w:rsidP="00187CC1">
      <w:pPr>
        <w:rPr>
          <w:sz w:val="22"/>
        </w:rPr>
      </w:pPr>
      <w:r w:rsidRPr="00187CC1">
        <w:rPr>
          <w:noProof/>
          <w:sz w:val="22"/>
          <w:lang w:eastAsia="en-GB"/>
        </w:rPr>
        <w:lastRenderedPageBreak/>
        <w:drawing>
          <wp:inline distT="0" distB="0" distL="0" distR="0">
            <wp:extent cx="5731510" cy="4188411"/>
            <wp:effectExtent l="19050" t="0" r="2540" b="0"/>
            <wp:docPr id="2" name="Picture 2"/>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9" cstate="print"/>
                    <a:srcRect l="22459" t="26636" r="20256" b="21036"/>
                    <a:stretch>
                      <a:fillRect/>
                    </a:stretch>
                  </pic:blipFill>
                  <pic:spPr bwMode="auto">
                    <a:xfrm>
                      <a:off x="0" y="0"/>
                      <a:ext cx="5731510" cy="4188411"/>
                    </a:xfrm>
                    <a:prstGeom prst="rect">
                      <a:avLst/>
                    </a:prstGeom>
                    <a:noFill/>
                    <a:ln w="9525">
                      <a:noFill/>
                      <a:miter lim="800000"/>
                      <a:headEnd/>
                      <a:tailEnd/>
                    </a:ln>
                  </pic:spPr>
                </pic:pic>
              </a:graphicData>
            </a:graphic>
          </wp:inline>
        </w:drawing>
      </w:r>
    </w:p>
    <w:p w:rsidR="00EC0C06" w:rsidRDefault="00DF6418" w:rsidP="00187CC1">
      <w:pPr>
        <w:rPr>
          <w:sz w:val="22"/>
        </w:rPr>
      </w:pPr>
      <w:r w:rsidRPr="00DF6418">
        <w:rPr>
          <w:sz w:val="22"/>
        </w:rPr>
        <w:t xml:space="preserve">Section 106 / CIL working </w:t>
      </w:r>
      <w:proofErr w:type="gramStart"/>
      <w:r w:rsidRPr="00DF6418">
        <w:rPr>
          <w:sz w:val="22"/>
        </w:rPr>
        <w:t>together  challenge</w:t>
      </w:r>
      <w:proofErr w:type="gramEnd"/>
      <w:r w:rsidRPr="00DF6418">
        <w:rPr>
          <w:sz w:val="22"/>
        </w:rPr>
        <w:t xml:space="preserve"> viability . Affordable Housing threshold requirement </w:t>
      </w:r>
      <w:proofErr w:type="gramStart"/>
      <w:r w:rsidRPr="00DF6418">
        <w:rPr>
          <w:sz w:val="22"/>
        </w:rPr>
        <w:t>dropping  from</w:t>
      </w:r>
      <w:proofErr w:type="gramEnd"/>
      <w:r w:rsidRPr="00DF6418">
        <w:rPr>
          <w:sz w:val="22"/>
        </w:rPr>
        <w:t xml:space="preserve"> 15 to surplus of 1 unit  affects viability. Affordable housing obligations being compromised so shortage of social housing.</w:t>
      </w:r>
      <w:r w:rsidR="00EC0C06" w:rsidRPr="00EC0C06">
        <w:rPr>
          <w:sz w:val="22"/>
        </w:rPr>
        <w:t xml:space="preserve"> </w:t>
      </w:r>
      <w:r w:rsidR="00EC0C06">
        <w:rPr>
          <w:sz w:val="22"/>
        </w:rPr>
        <w:t xml:space="preserve">The Homes and Communities Agency (HCA) is private sector led using HCA land, government land, defence and health. </w:t>
      </w:r>
      <w:proofErr w:type="spellStart"/>
      <w:r w:rsidR="00EC0C06">
        <w:rPr>
          <w:sz w:val="22"/>
        </w:rPr>
        <w:t>AvB</w:t>
      </w:r>
      <w:proofErr w:type="spellEnd"/>
      <w:r w:rsidR="00EC0C06">
        <w:rPr>
          <w:sz w:val="22"/>
        </w:rPr>
        <w:t xml:space="preserve"> was concerned that infrastructure costs cannot be carried by schemes.</w:t>
      </w:r>
    </w:p>
    <w:p w:rsidR="00EC0C06" w:rsidRDefault="00EC0C06" w:rsidP="00DF6418">
      <w:pPr>
        <w:rPr>
          <w:sz w:val="22"/>
        </w:rPr>
      </w:pPr>
    </w:p>
    <w:p w:rsidR="00DF6418" w:rsidRDefault="00DF6418" w:rsidP="00685AC1">
      <w:pPr>
        <w:rPr>
          <w:sz w:val="22"/>
        </w:rPr>
      </w:pPr>
      <w:r w:rsidRPr="00DF6418">
        <w:rPr>
          <w:sz w:val="22"/>
        </w:rPr>
        <w:t xml:space="preserve">Greenbelt contention – much greenbelt land is former agricultural land of little value or </w:t>
      </w:r>
      <w:proofErr w:type="spellStart"/>
      <w:r w:rsidRPr="00DF6418">
        <w:rPr>
          <w:sz w:val="22"/>
        </w:rPr>
        <w:t>brownfield</w:t>
      </w:r>
      <w:proofErr w:type="spellEnd"/>
      <w:r w:rsidRPr="00DF6418">
        <w:rPr>
          <w:sz w:val="22"/>
        </w:rPr>
        <w:t xml:space="preserve">. </w:t>
      </w:r>
      <w:r w:rsidR="00EC0C06">
        <w:rPr>
          <w:sz w:val="22"/>
        </w:rPr>
        <w:t>Here at present p</w:t>
      </w:r>
      <w:r w:rsidRPr="00DF6418">
        <w:rPr>
          <w:sz w:val="22"/>
        </w:rPr>
        <w:t xml:space="preserve">olitics and planning do not </w:t>
      </w:r>
      <w:proofErr w:type="spellStart"/>
      <w:r w:rsidRPr="00DF6418">
        <w:rPr>
          <w:sz w:val="22"/>
        </w:rPr>
        <w:t>align.</w:t>
      </w:r>
      <w:r w:rsidR="00EC0C06">
        <w:rPr>
          <w:sz w:val="22"/>
        </w:rPr>
        <w:t>Progress</w:t>
      </w:r>
      <w:proofErr w:type="spellEnd"/>
      <w:r w:rsidR="00EC0C06">
        <w:rPr>
          <w:sz w:val="22"/>
        </w:rPr>
        <w:t xml:space="preserve"> on urban extensions is slow although it is interesting that </w:t>
      </w:r>
      <w:proofErr w:type="spellStart"/>
      <w:r w:rsidR="00EC0C06">
        <w:rPr>
          <w:sz w:val="22"/>
        </w:rPr>
        <w:t>Ebbsfleet</w:t>
      </w:r>
      <w:proofErr w:type="spellEnd"/>
      <w:r w:rsidR="00EC0C06">
        <w:rPr>
          <w:sz w:val="22"/>
        </w:rPr>
        <w:t xml:space="preserve"> still seems to be continuing. </w:t>
      </w:r>
    </w:p>
    <w:p w:rsidR="00685AC1" w:rsidRDefault="00685AC1" w:rsidP="00685AC1">
      <w:pPr>
        <w:rPr>
          <w:sz w:val="22"/>
        </w:rPr>
      </w:pPr>
      <w:r>
        <w:rPr>
          <w:sz w:val="22"/>
        </w:rPr>
        <w:t xml:space="preserve"> </w:t>
      </w:r>
    </w:p>
    <w:p w:rsidR="00EC0C06" w:rsidRPr="00EC0C06" w:rsidRDefault="00EC0C06" w:rsidP="00EC0C06">
      <w:pPr>
        <w:rPr>
          <w:sz w:val="22"/>
        </w:rPr>
      </w:pPr>
      <w:r w:rsidRPr="00EC0C06">
        <w:rPr>
          <w:sz w:val="22"/>
        </w:rPr>
        <w:t>Availability of land is the other constraint on development (setting aside development finance and mortgage availability)</w:t>
      </w:r>
    </w:p>
    <w:p w:rsidR="00EC0C06" w:rsidRDefault="00EC0C06" w:rsidP="00EC0C06">
      <w:pPr>
        <w:rPr>
          <w:sz w:val="22"/>
        </w:rPr>
      </w:pPr>
    </w:p>
    <w:p w:rsidR="00EC0C06" w:rsidRPr="00EC0C06" w:rsidRDefault="00187CC1" w:rsidP="00EC0C06">
      <w:pPr>
        <w:rPr>
          <w:sz w:val="22"/>
        </w:rPr>
      </w:pPr>
      <w:r>
        <w:rPr>
          <w:sz w:val="22"/>
        </w:rPr>
        <w:t>He queried the r</w:t>
      </w:r>
      <w:r w:rsidR="00EC0C06" w:rsidRPr="00EC0C06">
        <w:rPr>
          <w:sz w:val="22"/>
        </w:rPr>
        <w:t>ole of PFI or PPP in kick starting large scale development on public land</w:t>
      </w:r>
      <w:r>
        <w:rPr>
          <w:sz w:val="22"/>
        </w:rPr>
        <w:t>.</w:t>
      </w:r>
      <w:r w:rsidR="00EC0C06" w:rsidRPr="00EC0C06">
        <w:rPr>
          <w:sz w:val="22"/>
        </w:rPr>
        <w:t xml:space="preserve"> </w:t>
      </w:r>
    </w:p>
    <w:p w:rsidR="00DF6418" w:rsidRDefault="00DF6418" w:rsidP="00685AC1">
      <w:pPr>
        <w:rPr>
          <w:sz w:val="22"/>
        </w:rPr>
      </w:pPr>
    </w:p>
    <w:p w:rsidR="00DF6418" w:rsidRPr="00685AC1" w:rsidRDefault="00DF6418" w:rsidP="00685AC1">
      <w:pPr>
        <w:rPr>
          <w:sz w:val="22"/>
        </w:rPr>
      </w:pPr>
      <w:r w:rsidRPr="00DF6418">
        <w:rPr>
          <w:noProof/>
          <w:sz w:val="22"/>
          <w:lang w:eastAsia="en-GB"/>
        </w:rPr>
        <w:lastRenderedPageBreak/>
        <w:drawing>
          <wp:inline distT="0" distB="0" distL="0" distR="0">
            <wp:extent cx="5731510" cy="4056758"/>
            <wp:effectExtent l="19050" t="0" r="2540" b="0"/>
            <wp:docPr id="1" name="Picture 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 cstate="print">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731510" cy="4056758"/>
                    </a:xfrm>
                    <a:prstGeom prst="rect">
                      <a:avLst/>
                    </a:prstGeom>
                  </pic:spPr>
                </pic:pic>
              </a:graphicData>
            </a:graphic>
          </wp:inline>
        </w:drawing>
      </w:r>
    </w:p>
    <w:p w:rsidR="00685AC1" w:rsidRDefault="00685AC1" w:rsidP="00EE196E">
      <w:pPr>
        <w:ind w:left="738"/>
        <w:rPr>
          <w:sz w:val="22"/>
        </w:rPr>
      </w:pPr>
    </w:p>
    <w:p w:rsidR="00685AC1" w:rsidRDefault="00685AC1" w:rsidP="00EE196E">
      <w:pPr>
        <w:ind w:left="738"/>
        <w:rPr>
          <w:sz w:val="22"/>
        </w:rPr>
      </w:pPr>
    </w:p>
    <w:p w:rsidR="00187CC1" w:rsidRPr="00187CC1" w:rsidRDefault="00187CC1" w:rsidP="00187CC1">
      <w:pPr>
        <w:rPr>
          <w:sz w:val="22"/>
        </w:rPr>
      </w:pPr>
      <w:r>
        <w:rPr>
          <w:sz w:val="22"/>
        </w:rPr>
        <w:t xml:space="preserve">Summarising prospects </w:t>
      </w:r>
      <w:proofErr w:type="spellStart"/>
      <w:r>
        <w:rPr>
          <w:sz w:val="22"/>
        </w:rPr>
        <w:t>AvB</w:t>
      </w:r>
      <w:proofErr w:type="spellEnd"/>
      <w:r>
        <w:rPr>
          <w:sz w:val="22"/>
        </w:rPr>
        <w:t>, focusing on the need for volume asked</w:t>
      </w:r>
      <w:r w:rsidRPr="00187CC1">
        <w:rPr>
          <w:sz w:val="22"/>
        </w:rPr>
        <w:t xml:space="preserve"> </w:t>
      </w:r>
      <w:r>
        <w:rPr>
          <w:sz w:val="22"/>
        </w:rPr>
        <w:t>“</w:t>
      </w:r>
      <w:r w:rsidRPr="00187CC1">
        <w:rPr>
          <w:sz w:val="22"/>
        </w:rPr>
        <w:t>how can we kick start large scale development</w:t>
      </w:r>
      <w:r>
        <w:rPr>
          <w:sz w:val="22"/>
        </w:rPr>
        <w:t xml:space="preserve">?” </w:t>
      </w:r>
      <w:r w:rsidRPr="00187CC1">
        <w:rPr>
          <w:sz w:val="22"/>
        </w:rPr>
        <w:t xml:space="preserve">What are the barriers and challenges? Will Garden Cities work? Do we need a new generation of New Towns? </w:t>
      </w:r>
    </w:p>
    <w:p w:rsidR="00187CC1" w:rsidRPr="00187CC1" w:rsidRDefault="00187CC1" w:rsidP="00187CC1">
      <w:pPr>
        <w:rPr>
          <w:sz w:val="22"/>
        </w:rPr>
      </w:pPr>
      <w:r w:rsidRPr="00187CC1">
        <w:rPr>
          <w:sz w:val="22"/>
        </w:rPr>
        <w:t>NPPF refers to 'locally supported large scale development' based on Garden City principles.</w:t>
      </w:r>
    </w:p>
    <w:p w:rsidR="00187CC1" w:rsidRPr="00187CC1" w:rsidRDefault="00187CC1" w:rsidP="00187CC1">
      <w:pPr>
        <w:rPr>
          <w:sz w:val="22"/>
        </w:rPr>
      </w:pPr>
      <w:r>
        <w:rPr>
          <w:sz w:val="22"/>
        </w:rPr>
        <w:t xml:space="preserve">He thought garden suburbs were better precedents than </w:t>
      </w:r>
      <w:r w:rsidRPr="00187CC1">
        <w:rPr>
          <w:sz w:val="22"/>
        </w:rPr>
        <w:t>Garden Cities</w:t>
      </w:r>
      <w:r>
        <w:rPr>
          <w:sz w:val="22"/>
        </w:rPr>
        <w:t>.</w:t>
      </w:r>
      <w:r w:rsidRPr="00187CC1">
        <w:rPr>
          <w:sz w:val="22"/>
        </w:rPr>
        <w:t xml:space="preserve"> Bedford Park and Hampstead Garden Suburb are better precedents. Extensions to existing conurbations rather than stand alone developments.</w:t>
      </w:r>
    </w:p>
    <w:p w:rsidR="00187CC1" w:rsidRDefault="00187CC1" w:rsidP="00187CC1">
      <w:pPr>
        <w:rPr>
          <w:sz w:val="22"/>
        </w:rPr>
      </w:pPr>
      <w:r>
        <w:rPr>
          <w:sz w:val="22"/>
        </w:rPr>
        <w:t>Critical is where these should be sited and the associated p</w:t>
      </w:r>
      <w:r w:rsidRPr="00187CC1">
        <w:rPr>
          <w:sz w:val="22"/>
        </w:rPr>
        <w:t>lanning issues</w:t>
      </w:r>
      <w:r>
        <w:rPr>
          <w:sz w:val="22"/>
        </w:rPr>
        <w:t xml:space="preserve"> which surround this</w:t>
      </w:r>
      <w:r w:rsidRPr="00187CC1">
        <w:rPr>
          <w:sz w:val="22"/>
        </w:rPr>
        <w:t>.</w:t>
      </w:r>
      <w:r>
        <w:rPr>
          <w:sz w:val="22"/>
        </w:rPr>
        <w:t xml:space="preserve"> There are </w:t>
      </w:r>
      <w:r w:rsidRPr="00187CC1">
        <w:rPr>
          <w:sz w:val="22"/>
        </w:rPr>
        <w:t>Challenges for delivery</w:t>
      </w:r>
      <w:r>
        <w:rPr>
          <w:sz w:val="22"/>
        </w:rPr>
        <w:t xml:space="preserve"> in terms of v</w:t>
      </w:r>
      <w:r w:rsidRPr="00187CC1">
        <w:rPr>
          <w:sz w:val="22"/>
        </w:rPr>
        <w:t xml:space="preserve">ision, leadership and </w:t>
      </w:r>
      <w:proofErr w:type="spellStart"/>
      <w:r w:rsidRPr="00187CC1">
        <w:rPr>
          <w:sz w:val="22"/>
        </w:rPr>
        <w:t>governance</w:t>
      </w:r>
      <w:proofErr w:type="gramStart"/>
      <w:r>
        <w:rPr>
          <w:sz w:val="22"/>
        </w:rPr>
        <w:t>,f</w:t>
      </w:r>
      <w:r w:rsidRPr="00187CC1">
        <w:rPr>
          <w:sz w:val="22"/>
        </w:rPr>
        <w:t>inancing</w:t>
      </w:r>
      <w:proofErr w:type="spellEnd"/>
      <w:proofErr w:type="gramEnd"/>
      <w:r w:rsidRPr="00187CC1">
        <w:rPr>
          <w:sz w:val="22"/>
        </w:rPr>
        <w:t xml:space="preserve"> social and physical infrastructure</w:t>
      </w:r>
      <w:r>
        <w:rPr>
          <w:sz w:val="22"/>
        </w:rPr>
        <w:t xml:space="preserve"> and a</w:t>
      </w:r>
      <w:r w:rsidRPr="00187CC1">
        <w:rPr>
          <w:sz w:val="22"/>
        </w:rPr>
        <w:t>chieving a balanced community</w:t>
      </w:r>
      <w:r>
        <w:rPr>
          <w:sz w:val="22"/>
        </w:rPr>
        <w:t>.</w:t>
      </w:r>
    </w:p>
    <w:p w:rsidR="00187CC1" w:rsidRDefault="00187CC1" w:rsidP="00187CC1">
      <w:pPr>
        <w:rPr>
          <w:sz w:val="22"/>
        </w:rPr>
      </w:pPr>
      <w:r>
        <w:rPr>
          <w:sz w:val="22"/>
        </w:rPr>
        <w:t>He referred to the TCPA publication</w:t>
      </w:r>
      <w:r w:rsidR="00974B49">
        <w:rPr>
          <w:sz w:val="22"/>
        </w:rPr>
        <w:t xml:space="preserve"> with Crest Nicholson and Lady Margaret Patterson Osborne Trust</w:t>
      </w:r>
      <w:r>
        <w:rPr>
          <w:sz w:val="22"/>
        </w:rPr>
        <w:t xml:space="preserve"> “Creating Garden Cities and Suburbs today”</w:t>
      </w:r>
    </w:p>
    <w:p w:rsidR="00974B49" w:rsidRDefault="003E2454" w:rsidP="00187CC1">
      <w:pPr>
        <w:rPr>
          <w:sz w:val="22"/>
        </w:rPr>
      </w:pPr>
      <w:hyperlink r:id="rId11" w:history="1">
        <w:r w:rsidR="00974B49" w:rsidRPr="00481D95">
          <w:rPr>
            <w:rStyle w:val="Hyperlink"/>
            <w:sz w:val="22"/>
          </w:rPr>
          <w:t>http://www.tcpa.org.uk/data/files/Creating_Garden_Cities_and_Suburbs_Today.pdf</w:t>
        </w:r>
      </w:hyperlink>
    </w:p>
    <w:p w:rsidR="00974B49" w:rsidRDefault="00974B49" w:rsidP="00187CC1">
      <w:pPr>
        <w:rPr>
          <w:sz w:val="22"/>
        </w:rPr>
      </w:pPr>
    </w:p>
    <w:p w:rsidR="00755E96" w:rsidRDefault="00974B49" w:rsidP="00187CC1">
      <w:pPr>
        <w:rPr>
          <w:rFonts w:cs="Arial"/>
          <w:sz w:val="22"/>
          <w:szCs w:val="22"/>
        </w:rPr>
      </w:pPr>
      <w:r>
        <w:rPr>
          <w:sz w:val="22"/>
        </w:rPr>
        <w:t xml:space="preserve">Duncan Bowie who had provided the </w:t>
      </w:r>
      <w:r w:rsidRPr="00974B49">
        <w:rPr>
          <w:sz w:val="22"/>
        </w:rPr>
        <w:t>Comments by the Highbury group on housing delivery on issues raised in the TCPA Report:</w:t>
      </w:r>
      <w:r>
        <w:rPr>
          <w:rFonts w:cs="Arial"/>
          <w:b/>
          <w:sz w:val="22"/>
          <w:szCs w:val="22"/>
        </w:rPr>
        <w:t xml:space="preserve"> </w:t>
      </w:r>
      <w:r w:rsidRPr="00974B49">
        <w:rPr>
          <w:rFonts w:cs="Arial"/>
          <w:i/>
          <w:sz w:val="22"/>
          <w:szCs w:val="22"/>
        </w:rPr>
        <w:t>Creating Garden Cities and Garden Suburbs Today</w:t>
      </w:r>
      <w:r>
        <w:rPr>
          <w:rFonts w:cs="Arial"/>
          <w:i/>
          <w:sz w:val="22"/>
          <w:szCs w:val="22"/>
        </w:rPr>
        <w:t xml:space="preserve"> </w:t>
      </w:r>
      <w:r w:rsidRPr="00974B49">
        <w:rPr>
          <w:rFonts w:cs="Arial"/>
          <w:sz w:val="22"/>
          <w:szCs w:val="22"/>
        </w:rPr>
        <w:t>spoke of the issues he thought should be followed up</w:t>
      </w:r>
      <w:r w:rsidR="00755E96">
        <w:rPr>
          <w:rFonts w:cs="Arial"/>
          <w:sz w:val="22"/>
          <w:szCs w:val="22"/>
        </w:rPr>
        <w:t>, substantially reprising the Highbury Group case</w:t>
      </w:r>
      <w:r>
        <w:rPr>
          <w:rFonts w:cs="Arial"/>
          <w:sz w:val="22"/>
          <w:szCs w:val="22"/>
        </w:rPr>
        <w:t xml:space="preserve">. </w:t>
      </w:r>
      <w:r w:rsidR="00755E96">
        <w:rPr>
          <w:rFonts w:cs="Arial"/>
          <w:sz w:val="22"/>
          <w:szCs w:val="22"/>
        </w:rPr>
        <w:t>(The group comprises some 30-40 academics including DB who have written some 30 policy papers</w:t>
      </w:r>
      <w:r w:rsidR="00CE3E65">
        <w:rPr>
          <w:rFonts w:cs="Arial"/>
          <w:sz w:val="22"/>
          <w:szCs w:val="22"/>
        </w:rPr>
        <w:t>)</w:t>
      </w:r>
      <w:r w:rsidR="009F7BB8">
        <w:rPr>
          <w:rFonts w:cs="Arial"/>
          <w:sz w:val="22"/>
          <w:szCs w:val="22"/>
        </w:rPr>
        <w:t xml:space="preserve">. He contrasted today’s issues with those confronting Howard and </w:t>
      </w:r>
      <w:proofErr w:type="spellStart"/>
      <w:r w:rsidR="009F7BB8">
        <w:rPr>
          <w:rFonts w:cs="Arial"/>
          <w:sz w:val="22"/>
          <w:szCs w:val="22"/>
        </w:rPr>
        <w:t>Unwin</w:t>
      </w:r>
      <w:proofErr w:type="spellEnd"/>
      <w:r w:rsidR="009F7BB8">
        <w:rPr>
          <w:rFonts w:cs="Arial"/>
          <w:sz w:val="22"/>
          <w:szCs w:val="22"/>
        </w:rPr>
        <w:t xml:space="preserve"> with what he saw as different government and labour concerns.</w:t>
      </w:r>
    </w:p>
    <w:p w:rsidR="00755E96" w:rsidRDefault="00755E96" w:rsidP="00187CC1">
      <w:pPr>
        <w:rPr>
          <w:rFonts w:cs="Arial"/>
          <w:sz w:val="22"/>
          <w:szCs w:val="22"/>
        </w:rPr>
      </w:pPr>
      <w:r>
        <w:rPr>
          <w:rFonts w:cs="Arial"/>
          <w:sz w:val="22"/>
          <w:szCs w:val="22"/>
        </w:rPr>
        <w:t xml:space="preserve">The Highbury Groups conclusions were </w:t>
      </w:r>
    </w:p>
    <w:p w:rsidR="00755E96" w:rsidRDefault="00755E96" w:rsidP="00755E96">
      <w:pPr>
        <w:rPr>
          <w:rFonts w:cs="Arial"/>
          <w:sz w:val="22"/>
          <w:szCs w:val="22"/>
        </w:rPr>
      </w:pPr>
      <w:r w:rsidRPr="00D3142C">
        <w:rPr>
          <w:rFonts w:cs="Arial"/>
          <w:sz w:val="22"/>
          <w:szCs w:val="22"/>
        </w:rPr>
        <w:t xml:space="preserve">1) That urban extensions </w:t>
      </w:r>
      <w:r>
        <w:rPr>
          <w:rFonts w:cs="Arial"/>
          <w:sz w:val="22"/>
          <w:szCs w:val="22"/>
        </w:rPr>
        <w:t xml:space="preserve">and new settlements with proximate connections to existing towns and cities </w:t>
      </w:r>
      <w:r w:rsidRPr="00D3142C">
        <w:rPr>
          <w:rFonts w:cs="Arial"/>
          <w:sz w:val="22"/>
          <w:szCs w:val="22"/>
        </w:rPr>
        <w:t xml:space="preserve">are more likely to achieve sustainable communities </w:t>
      </w:r>
      <w:r>
        <w:rPr>
          <w:rFonts w:cs="Arial"/>
          <w:sz w:val="22"/>
          <w:szCs w:val="22"/>
        </w:rPr>
        <w:t xml:space="preserve">and housing growth </w:t>
      </w:r>
      <w:r w:rsidRPr="00D3142C">
        <w:rPr>
          <w:rFonts w:cs="Arial"/>
          <w:sz w:val="22"/>
          <w:szCs w:val="22"/>
        </w:rPr>
        <w:t>than new stand alone garden cities</w:t>
      </w:r>
      <w:r>
        <w:rPr>
          <w:rFonts w:cs="Arial"/>
          <w:sz w:val="22"/>
          <w:szCs w:val="22"/>
        </w:rPr>
        <w:t>. T</w:t>
      </w:r>
      <w:r w:rsidRPr="00D3142C">
        <w:rPr>
          <w:rFonts w:cs="Arial"/>
          <w:sz w:val="22"/>
          <w:szCs w:val="22"/>
        </w:rPr>
        <w:t>hey are more likely to have access to employment opportunities and to existing transport and social infrastructure. As the Government is not in a position to direct the location of new employment provision, residential communities should be developed where there is good public transport access to existing employment opportunities</w:t>
      </w:r>
      <w:r>
        <w:rPr>
          <w:rFonts w:cs="Arial"/>
          <w:sz w:val="22"/>
          <w:szCs w:val="22"/>
        </w:rPr>
        <w:t>,</w:t>
      </w:r>
      <w:r w:rsidRPr="00D3142C">
        <w:rPr>
          <w:rFonts w:cs="Arial"/>
          <w:sz w:val="22"/>
          <w:szCs w:val="22"/>
        </w:rPr>
        <w:t xml:space="preserve"> in areas which are economically strong and which are likely to see </w:t>
      </w:r>
      <w:r w:rsidRPr="00D3142C">
        <w:rPr>
          <w:rFonts w:cs="Arial"/>
          <w:sz w:val="22"/>
          <w:szCs w:val="22"/>
        </w:rPr>
        <w:lastRenderedPageBreak/>
        <w:t>employment growth in the future.</w:t>
      </w:r>
      <w:r w:rsidRPr="00D3142C">
        <w:rPr>
          <w:rFonts w:cs="Arial"/>
          <w:sz w:val="22"/>
          <w:szCs w:val="22"/>
        </w:rPr>
        <w:br/>
        <w:t>2) That in order to make effective use of land and to make developments econom</w:t>
      </w:r>
      <w:r>
        <w:rPr>
          <w:rFonts w:cs="Arial"/>
          <w:sz w:val="22"/>
          <w:szCs w:val="22"/>
        </w:rPr>
        <w:t>i</w:t>
      </w:r>
      <w:r w:rsidRPr="00D3142C">
        <w:rPr>
          <w:rFonts w:cs="Arial"/>
          <w:sz w:val="22"/>
          <w:szCs w:val="22"/>
        </w:rPr>
        <w:t>cally viable, it will be necessary to provide a range of housing types and tenures. This will involve low and medium rise flats, maisonettes and terraced houses as well as detached and semidetached houses.  This will produce higher average densities than the 12 per acre assumption</w:t>
      </w:r>
      <w:r>
        <w:rPr>
          <w:rFonts w:cs="Arial"/>
          <w:sz w:val="22"/>
          <w:szCs w:val="22"/>
        </w:rPr>
        <w:t xml:space="preserve"> (equivalent to 30 per hectare)</w:t>
      </w:r>
      <w:r w:rsidRPr="00D3142C">
        <w:rPr>
          <w:rFonts w:cs="Arial"/>
          <w:sz w:val="22"/>
          <w:szCs w:val="22"/>
        </w:rPr>
        <w:t xml:space="preserve"> in Raymond </w:t>
      </w:r>
      <w:proofErr w:type="spellStart"/>
      <w:r w:rsidRPr="00D3142C">
        <w:rPr>
          <w:rFonts w:cs="Arial"/>
          <w:sz w:val="22"/>
          <w:szCs w:val="22"/>
        </w:rPr>
        <w:t>Unwin’s</w:t>
      </w:r>
      <w:proofErr w:type="spellEnd"/>
      <w:r w:rsidRPr="00D3142C">
        <w:rPr>
          <w:rFonts w:cs="Arial"/>
          <w:sz w:val="22"/>
          <w:szCs w:val="22"/>
        </w:rPr>
        <w:t xml:space="preserve"> interpretation of the garden cities model.  Ranges of 50-120 dwellings per hectare may be more appropriate.</w:t>
      </w:r>
      <w:r>
        <w:rPr>
          <w:rFonts w:cs="Arial"/>
          <w:sz w:val="22"/>
          <w:szCs w:val="22"/>
        </w:rPr>
        <w:br/>
        <w:t xml:space="preserve">3) A tenure balance is critical. It is important to avoid a predominance of up market homes, and new settlements need to include a mix of social rented homes, shared ownership homes, sub-market intermediate rented homes, and homes for open market purchase. The tenure balance needs to have regard to both ensuring a long term socially sustainable communities, and the housing need and demand in the area, normally a sub-region rather than a single district, from which a new settlement is likely to draw its new residents. Development is for the long term and plan-led rather than being a consequence solely of investment decisions made by developers at a specific point in time and a specific housing market context. </w:t>
      </w:r>
      <w:r>
        <w:rPr>
          <w:rFonts w:cs="Arial"/>
          <w:sz w:val="22"/>
          <w:szCs w:val="22"/>
        </w:rPr>
        <w:br/>
        <w:t>4) Acquisition of land by a public sector body or trust at close to pre-existing use value (including agricultural land value) is critical if a range of housing products, including affordable homes are to be provided.  This may require changes to existing principles of valuation for compulsory purchase. The benefit of any appreciation in value from a change of use to residential must accrue to the public sector or development trust to support the provision of transport, social and green infrastructure, there also need to be mechanisms in place to ensure that while properties and individuals within a new development may change between tenures, that the overall supply of different types of affordable housing provision is maintained in the longer term.</w:t>
      </w:r>
      <w:r>
        <w:rPr>
          <w:rFonts w:cs="Arial"/>
          <w:sz w:val="22"/>
          <w:szCs w:val="22"/>
        </w:rPr>
        <w:br/>
        <w:t>5) Scheme design needs to be based on the principle of minimising distinctions between tenure.</w:t>
      </w:r>
    </w:p>
    <w:p w:rsidR="00755E96" w:rsidRDefault="00755E96" w:rsidP="00755E96">
      <w:pPr>
        <w:rPr>
          <w:rFonts w:cs="Arial"/>
          <w:sz w:val="22"/>
          <w:szCs w:val="22"/>
        </w:rPr>
      </w:pPr>
      <w:r>
        <w:rPr>
          <w:rFonts w:cs="Arial"/>
          <w:sz w:val="22"/>
          <w:szCs w:val="22"/>
        </w:rPr>
        <w:t xml:space="preserve">6) Some form of public sector investment in both housing and infrastructure provision will be necessary if we are to deliver new settlements which are to be economically, environment and socially sustainable. This should </w:t>
      </w:r>
      <w:proofErr w:type="spellStart"/>
      <w:r>
        <w:rPr>
          <w:rFonts w:cs="Arial"/>
          <w:sz w:val="22"/>
          <w:szCs w:val="22"/>
        </w:rPr>
        <w:t>ne</w:t>
      </w:r>
      <w:proofErr w:type="spellEnd"/>
      <w:r>
        <w:rPr>
          <w:rFonts w:cs="Arial"/>
          <w:sz w:val="22"/>
          <w:szCs w:val="22"/>
        </w:rPr>
        <w:t xml:space="preserve"> seen as investment in future generations.</w:t>
      </w:r>
    </w:p>
    <w:p w:rsidR="00755E96" w:rsidRDefault="00755E96" w:rsidP="00755E96">
      <w:pPr>
        <w:rPr>
          <w:rFonts w:cs="Arial"/>
          <w:sz w:val="22"/>
          <w:szCs w:val="22"/>
        </w:rPr>
      </w:pPr>
      <w:r>
        <w:rPr>
          <w:rFonts w:cs="Arial"/>
          <w:sz w:val="22"/>
          <w:szCs w:val="22"/>
        </w:rPr>
        <w:t>7) Infrastructure funds should be established for major new settlements which combine public and private investment, including funds raised through bond issues.</w:t>
      </w:r>
    </w:p>
    <w:p w:rsidR="00755E96" w:rsidRDefault="00755E96" w:rsidP="00755E96">
      <w:pPr>
        <w:rPr>
          <w:rFonts w:cs="Arial"/>
          <w:sz w:val="22"/>
          <w:szCs w:val="22"/>
        </w:rPr>
      </w:pPr>
      <w:r>
        <w:rPr>
          <w:rFonts w:cs="Arial"/>
          <w:sz w:val="22"/>
          <w:szCs w:val="22"/>
        </w:rPr>
        <w:t>8) There is no reason for having a specific set of standards applicable to ‘</w:t>
      </w:r>
      <w:proofErr w:type="spellStart"/>
      <w:r>
        <w:rPr>
          <w:rFonts w:cs="Arial"/>
          <w:sz w:val="22"/>
          <w:szCs w:val="22"/>
        </w:rPr>
        <w:t>ecotowns</w:t>
      </w:r>
      <w:proofErr w:type="spellEnd"/>
      <w:r>
        <w:rPr>
          <w:rFonts w:cs="Arial"/>
          <w:sz w:val="22"/>
          <w:szCs w:val="22"/>
        </w:rPr>
        <w:t>’ or ‘garden cities’ or ‘ garden suburbs’ which do not apply to other forms of significant new residential led development.</w:t>
      </w:r>
      <w:r w:rsidRPr="00D3142C">
        <w:rPr>
          <w:rFonts w:cs="Arial"/>
          <w:sz w:val="22"/>
          <w:szCs w:val="22"/>
        </w:rPr>
        <w:br/>
      </w:r>
    </w:p>
    <w:p w:rsidR="009F7BB8" w:rsidRDefault="00CE3E65" w:rsidP="009F7BB8">
      <w:pPr>
        <w:rPr>
          <w:sz w:val="22"/>
        </w:rPr>
      </w:pPr>
      <w:r>
        <w:rPr>
          <w:sz w:val="22"/>
        </w:rPr>
        <w:t xml:space="preserve">Sir Peter Hall responded to this, saying he was not a member of TCPA but an endorser of creating garden cities and garden suburbs. </w:t>
      </w:r>
      <w:r w:rsidR="008A0C56">
        <w:rPr>
          <w:sz w:val="22"/>
        </w:rPr>
        <w:t>His case was entitled “</w:t>
      </w:r>
      <w:r w:rsidR="009F7BB8" w:rsidRPr="009F7BB8">
        <w:rPr>
          <w:sz w:val="22"/>
        </w:rPr>
        <w:t>The Garden City: Enduring Vision, Alternative Interpretations Response to the Highbury Group</w:t>
      </w:r>
      <w:r w:rsidR="008A0C56">
        <w:rPr>
          <w:sz w:val="22"/>
        </w:rPr>
        <w:t>”.</w:t>
      </w:r>
    </w:p>
    <w:p w:rsidR="008A0C56" w:rsidRDefault="008A0C56" w:rsidP="009F7BB8">
      <w:pPr>
        <w:rPr>
          <w:sz w:val="22"/>
        </w:rPr>
      </w:pPr>
    </w:p>
    <w:p w:rsidR="008A0C56" w:rsidRDefault="008A0C56" w:rsidP="009F7BB8">
      <w:pPr>
        <w:rPr>
          <w:sz w:val="22"/>
        </w:rPr>
      </w:pPr>
      <w:r>
        <w:rPr>
          <w:sz w:val="22"/>
        </w:rPr>
        <w:t xml:space="preserve">He began by outlining what Howard’s vision in fact was which appears to have been partly lost. It was not for low densities but for settlements of some 30,000 at an average of 90ppa. </w:t>
      </w:r>
      <w:proofErr w:type="gramStart"/>
      <w:r>
        <w:rPr>
          <w:sz w:val="22"/>
        </w:rPr>
        <w:t>or</w:t>
      </w:r>
      <w:proofErr w:type="gramEnd"/>
      <w:r>
        <w:rPr>
          <w:sz w:val="22"/>
        </w:rPr>
        <w:t xml:space="preserve"> 60 to the hectare, not the 30 attributed to his proposals. Also the garden cities were designed as an integrated group with an </w:t>
      </w:r>
      <w:proofErr w:type="spellStart"/>
      <w:r>
        <w:rPr>
          <w:sz w:val="22"/>
        </w:rPr>
        <w:t>intermunicipal</w:t>
      </w:r>
      <w:proofErr w:type="spellEnd"/>
      <w:r>
        <w:rPr>
          <w:sz w:val="22"/>
        </w:rPr>
        <w:t xml:space="preserve"> railway/light rail. This evolved into the Milton Keynes settlement for 250,000. It could be extended without limit. Hertfordshire models</w:t>
      </w:r>
      <w:r w:rsidR="00FA2DB0">
        <w:rPr>
          <w:sz w:val="22"/>
        </w:rPr>
        <w:t xml:space="preserve"> of his social city</w:t>
      </w:r>
      <w:r>
        <w:rPr>
          <w:sz w:val="22"/>
        </w:rPr>
        <w:t xml:space="preserve"> were towns set against a backdrop of open country. </w:t>
      </w:r>
    </w:p>
    <w:p w:rsidR="008A0C56" w:rsidRDefault="008A0C56" w:rsidP="009F7BB8">
      <w:pPr>
        <w:rPr>
          <w:sz w:val="22"/>
        </w:rPr>
      </w:pPr>
    </w:p>
    <w:p w:rsidR="008A0C56" w:rsidRDefault="008A0C56" w:rsidP="009F7BB8">
      <w:pPr>
        <w:rPr>
          <w:sz w:val="22"/>
        </w:rPr>
      </w:pPr>
      <w:r>
        <w:rPr>
          <w:sz w:val="22"/>
        </w:rPr>
        <w:t>There is no land value problem. The whole venture paid for itself, borrowing from a capitalist</w:t>
      </w:r>
      <w:r w:rsidR="00FA2DB0">
        <w:rPr>
          <w:sz w:val="22"/>
        </w:rPr>
        <w:t>. This is described in Howard’s thesis “The Vanishing Landlord’s Rent”.</w:t>
      </w:r>
    </w:p>
    <w:p w:rsidR="00FA2DB0" w:rsidRDefault="00FA2DB0" w:rsidP="009F7BB8">
      <w:pPr>
        <w:rPr>
          <w:sz w:val="22"/>
        </w:rPr>
      </w:pPr>
    </w:p>
    <w:p w:rsidR="00FA2DB0" w:rsidRDefault="00FA2DB0" w:rsidP="009F7BB8">
      <w:pPr>
        <w:rPr>
          <w:sz w:val="22"/>
        </w:rPr>
      </w:pPr>
      <w:r>
        <w:rPr>
          <w:sz w:val="22"/>
        </w:rPr>
        <w:t xml:space="preserve">Between 1903 and 1907 Letchworth and Hampstead Garden Suburb were realised although the first suburb was </w:t>
      </w:r>
      <w:proofErr w:type="spellStart"/>
      <w:r>
        <w:rPr>
          <w:sz w:val="22"/>
        </w:rPr>
        <w:t>Brentham</w:t>
      </w:r>
      <w:proofErr w:type="spellEnd"/>
      <w:r>
        <w:rPr>
          <w:sz w:val="22"/>
        </w:rPr>
        <w:t xml:space="preserve"> in the Brent Valley. </w:t>
      </w:r>
      <w:hyperlink r:id="rId12" w:history="1">
        <w:r w:rsidRPr="00481D95">
          <w:rPr>
            <w:rStyle w:val="Hyperlink"/>
            <w:sz w:val="22"/>
          </w:rPr>
          <w:t>http://www.brentham.com/</w:t>
        </w:r>
      </w:hyperlink>
      <w:r>
        <w:rPr>
          <w:sz w:val="22"/>
        </w:rPr>
        <w:t xml:space="preserve"> </w:t>
      </w:r>
    </w:p>
    <w:p w:rsidR="00FA2DB0" w:rsidRDefault="00FA2DB0" w:rsidP="009F7BB8">
      <w:pPr>
        <w:rPr>
          <w:sz w:val="22"/>
        </w:rPr>
      </w:pPr>
    </w:p>
    <w:p w:rsidR="00C86A1D" w:rsidRDefault="00FA2DB0" w:rsidP="009F7BB8">
      <w:pPr>
        <w:rPr>
          <w:sz w:val="22"/>
        </w:rPr>
      </w:pPr>
      <w:r>
        <w:rPr>
          <w:sz w:val="22"/>
        </w:rPr>
        <w:t>These ideas were extended by Sir Patrick Abercrombie in the Greater London and County of London Plans of 1943-4 with a second generation of new Towns in the 1960s (e.g. Milton Keynes, Northampton and Peterborough</w:t>
      </w:r>
      <w:r w:rsidR="00C86A1D">
        <w:rPr>
          <w:sz w:val="22"/>
        </w:rPr>
        <w:t xml:space="preserve"> – an urban extension to an existing City</w:t>
      </w:r>
      <w:r>
        <w:rPr>
          <w:sz w:val="22"/>
        </w:rPr>
        <w:t>)</w:t>
      </w:r>
      <w:r w:rsidR="00C86A1D">
        <w:rPr>
          <w:sz w:val="22"/>
        </w:rPr>
        <w:t xml:space="preserve">. New towns as clusters followed with Leyland/Chorley and growth at Canterbury and Ashford as described by Hall and Ward in 1998. Mercia, </w:t>
      </w:r>
      <w:proofErr w:type="spellStart"/>
      <w:r w:rsidR="00C86A1D">
        <w:rPr>
          <w:sz w:val="22"/>
        </w:rPr>
        <w:t>Anglian</w:t>
      </w:r>
      <w:proofErr w:type="spellEnd"/>
      <w:r w:rsidR="00C86A1D">
        <w:rPr>
          <w:sz w:val="22"/>
        </w:rPr>
        <w:t xml:space="preserve"> and Kent sustainable models followed in 2003. </w:t>
      </w:r>
      <w:proofErr w:type="spellStart"/>
      <w:r w:rsidR="00C86A1D">
        <w:rPr>
          <w:sz w:val="22"/>
        </w:rPr>
        <w:t>Reconcentration</w:t>
      </w:r>
      <w:proofErr w:type="spellEnd"/>
      <w:r w:rsidR="00C86A1D">
        <w:rPr>
          <w:sz w:val="22"/>
        </w:rPr>
        <w:t xml:space="preserve"> has taken place in Aylesbury. </w:t>
      </w:r>
    </w:p>
    <w:p w:rsidR="00C86A1D" w:rsidRDefault="00C86A1D" w:rsidP="009F7BB8">
      <w:pPr>
        <w:rPr>
          <w:sz w:val="22"/>
        </w:rPr>
      </w:pPr>
    </w:p>
    <w:p w:rsidR="00C86A1D" w:rsidRDefault="00C86A1D" w:rsidP="009F7BB8">
      <w:pPr>
        <w:rPr>
          <w:sz w:val="22"/>
        </w:rPr>
      </w:pPr>
      <w:r>
        <w:rPr>
          <w:sz w:val="22"/>
        </w:rPr>
        <w:t xml:space="preserve">The4 models are clusters of small garden cities with good transit systems or large scale urban extensions. </w:t>
      </w:r>
    </w:p>
    <w:p w:rsidR="00C86A1D" w:rsidRDefault="00C86A1D" w:rsidP="009F7BB8">
      <w:pPr>
        <w:rPr>
          <w:sz w:val="22"/>
        </w:rPr>
      </w:pPr>
    </w:p>
    <w:p w:rsidR="00FA2DB0" w:rsidRDefault="00C86A1D" w:rsidP="009F7BB8">
      <w:pPr>
        <w:rPr>
          <w:sz w:val="22"/>
        </w:rPr>
      </w:pPr>
      <w:r>
        <w:rPr>
          <w:sz w:val="22"/>
        </w:rPr>
        <w:t xml:space="preserve">Best continental practice in Europe </w:t>
      </w:r>
      <w:r w:rsidR="00A80B6E">
        <w:rPr>
          <w:sz w:val="22"/>
        </w:rPr>
        <w:t xml:space="preserve">may be found </w:t>
      </w:r>
      <w:r>
        <w:rPr>
          <w:sz w:val="22"/>
        </w:rPr>
        <w:t>at Freiburg</w:t>
      </w:r>
      <w:r w:rsidR="00A80B6E">
        <w:rPr>
          <w:sz w:val="22"/>
        </w:rPr>
        <w:t xml:space="preserve"> in SW Germany</w:t>
      </w:r>
      <w:r>
        <w:rPr>
          <w:sz w:val="22"/>
        </w:rPr>
        <w:t xml:space="preserve"> – a compact </w:t>
      </w:r>
      <w:r w:rsidR="005252C1">
        <w:rPr>
          <w:sz w:val="22"/>
        </w:rPr>
        <w:t xml:space="preserve">dense and lively </w:t>
      </w:r>
      <w:r>
        <w:rPr>
          <w:sz w:val="22"/>
        </w:rPr>
        <w:t>city of 200,000</w:t>
      </w:r>
      <w:r w:rsidR="00691030">
        <w:rPr>
          <w:sz w:val="22"/>
        </w:rPr>
        <w:t xml:space="preserve">. It has a good tram and bus system. The Vauban Quarter was built </w:t>
      </w:r>
      <w:r w:rsidR="006177B1">
        <w:rPr>
          <w:sz w:val="22"/>
        </w:rPr>
        <w:t xml:space="preserve">on the site of a former French army barracks </w:t>
      </w:r>
      <w:r w:rsidR="00691030">
        <w:rPr>
          <w:sz w:val="22"/>
        </w:rPr>
        <w:t>by the occupying community</w:t>
      </w:r>
      <w:r w:rsidR="006177B1">
        <w:rPr>
          <w:sz w:val="22"/>
        </w:rPr>
        <w:t xml:space="preserve"> in collaboration with the Council</w:t>
      </w:r>
      <w:r w:rsidR="00691030">
        <w:rPr>
          <w:sz w:val="22"/>
        </w:rPr>
        <w:t xml:space="preserve">. It consists of single access houses rather than apartments and avoids town cramming. </w:t>
      </w:r>
      <w:r w:rsidR="006177B1" w:rsidRPr="006177B1">
        <w:rPr>
          <w:sz w:val="22"/>
        </w:rPr>
        <w:t xml:space="preserve">All houses are built to a </w:t>
      </w:r>
      <w:r w:rsidR="006177B1">
        <w:rPr>
          <w:sz w:val="22"/>
        </w:rPr>
        <w:t>low energy consumption standard.</w:t>
      </w:r>
    </w:p>
    <w:p w:rsidR="00691030" w:rsidRDefault="00691030" w:rsidP="009F7BB8">
      <w:pPr>
        <w:rPr>
          <w:sz w:val="22"/>
        </w:rPr>
      </w:pPr>
    </w:p>
    <w:p w:rsidR="00691030" w:rsidRDefault="00691030" w:rsidP="00691030">
      <w:pPr>
        <w:jc w:val="center"/>
        <w:rPr>
          <w:sz w:val="22"/>
        </w:rPr>
      </w:pPr>
      <w:r>
        <w:rPr>
          <w:noProof/>
          <w:sz w:val="22"/>
          <w:lang w:eastAsia="en-GB"/>
        </w:rPr>
        <w:drawing>
          <wp:inline distT="0" distB="0" distL="0" distR="0">
            <wp:extent cx="3962400" cy="297598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3962492" cy="2976049"/>
                    </a:xfrm>
                    <a:prstGeom prst="rect">
                      <a:avLst/>
                    </a:prstGeom>
                    <a:noFill/>
                    <a:ln w="9525">
                      <a:noFill/>
                      <a:miter lim="800000"/>
                      <a:headEnd/>
                      <a:tailEnd/>
                    </a:ln>
                  </pic:spPr>
                </pic:pic>
              </a:graphicData>
            </a:graphic>
          </wp:inline>
        </w:drawing>
      </w:r>
    </w:p>
    <w:p w:rsidR="00E95AC6" w:rsidRDefault="00E95AC6" w:rsidP="00691030">
      <w:pPr>
        <w:jc w:val="center"/>
        <w:rPr>
          <w:sz w:val="22"/>
        </w:rPr>
      </w:pPr>
    </w:p>
    <w:p w:rsidR="00E95AC6" w:rsidRDefault="00E95AC6" w:rsidP="00691030">
      <w:pPr>
        <w:jc w:val="center"/>
        <w:rPr>
          <w:sz w:val="22"/>
        </w:rPr>
      </w:pPr>
      <w:r>
        <w:rPr>
          <w:noProof/>
          <w:sz w:val="22"/>
          <w:lang w:eastAsia="en-GB"/>
        </w:rPr>
        <w:lastRenderedPageBreak/>
        <w:drawing>
          <wp:inline distT="0" distB="0" distL="0" distR="0">
            <wp:extent cx="5724525" cy="4276725"/>
            <wp:effectExtent l="19050" t="0" r="952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724525" cy="4276725"/>
                    </a:xfrm>
                    <a:prstGeom prst="rect">
                      <a:avLst/>
                    </a:prstGeom>
                    <a:noFill/>
                    <a:ln w="9525">
                      <a:noFill/>
                      <a:miter lim="800000"/>
                      <a:headEnd/>
                      <a:tailEnd/>
                    </a:ln>
                  </pic:spPr>
                </pic:pic>
              </a:graphicData>
            </a:graphic>
          </wp:inline>
        </w:drawing>
      </w:r>
    </w:p>
    <w:p w:rsidR="00691030" w:rsidRDefault="00691030" w:rsidP="009F7BB8">
      <w:pPr>
        <w:rPr>
          <w:sz w:val="22"/>
        </w:rPr>
      </w:pPr>
    </w:p>
    <w:p w:rsidR="00691030" w:rsidRPr="00974B49" w:rsidRDefault="00691030" w:rsidP="009F7BB8">
      <w:pPr>
        <w:rPr>
          <w:sz w:val="22"/>
        </w:rPr>
      </w:pPr>
    </w:p>
    <w:p w:rsidR="00187CC1" w:rsidRDefault="00187CC1" w:rsidP="00EE196E">
      <w:pPr>
        <w:ind w:left="738"/>
        <w:rPr>
          <w:sz w:val="22"/>
        </w:rPr>
      </w:pPr>
    </w:p>
    <w:p w:rsidR="00691030" w:rsidRDefault="00691030" w:rsidP="00691030">
      <w:pPr>
        <w:ind w:left="738"/>
        <w:rPr>
          <w:sz w:val="22"/>
        </w:rPr>
      </w:pPr>
      <w:r>
        <w:rPr>
          <w:noProof/>
          <w:sz w:val="22"/>
          <w:lang w:eastAsia="en-GB"/>
        </w:rPr>
        <w:drawing>
          <wp:inline distT="0" distB="0" distL="0" distR="0">
            <wp:extent cx="4848225" cy="3358323"/>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4850910" cy="3360183"/>
                    </a:xfrm>
                    <a:prstGeom prst="rect">
                      <a:avLst/>
                    </a:prstGeom>
                    <a:noFill/>
                    <a:ln w="9525">
                      <a:noFill/>
                      <a:miter lim="800000"/>
                      <a:headEnd/>
                      <a:tailEnd/>
                    </a:ln>
                  </pic:spPr>
                </pic:pic>
              </a:graphicData>
            </a:graphic>
          </wp:inline>
        </w:drawing>
      </w:r>
    </w:p>
    <w:p w:rsidR="00691030" w:rsidRDefault="003E2454" w:rsidP="00691030">
      <w:pPr>
        <w:ind w:left="738"/>
        <w:rPr>
          <w:sz w:val="22"/>
        </w:rPr>
      </w:pPr>
      <w:hyperlink r:id="rId16" w:history="1">
        <w:r w:rsidR="00691030" w:rsidRPr="00481D95">
          <w:rPr>
            <w:rStyle w:val="Hyperlink"/>
            <w:sz w:val="22"/>
          </w:rPr>
          <w:t>http://www.vauban.de/karte/vaubankarte.png</w:t>
        </w:r>
      </w:hyperlink>
    </w:p>
    <w:p w:rsidR="00691030" w:rsidRDefault="00691030" w:rsidP="00691030">
      <w:pPr>
        <w:ind w:left="738"/>
        <w:rPr>
          <w:sz w:val="22"/>
        </w:rPr>
      </w:pPr>
    </w:p>
    <w:p w:rsidR="00691030" w:rsidRDefault="00E95AC6" w:rsidP="00A80B6E">
      <w:pPr>
        <w:rPr>
          <w:sz w:val="22"/>
        </w:rPr>
      </w:pPr>
      <w:r>
        <w:rPr>
          <w:sz w:val="22"/>
        </w:rPr>
        <w:t xml:space="preserve">The second example is </w:t>
      </w:r>
      <w:proofErr w:type="spellStart"/>
      <w:r>
        <w:rPr>
          <w:sz w:val="22"/>
        </w:rPr>
        <w:t>Ybenburg</w:t>
      </w:r>
      <w:proofErr w:type="spellEnd"/>
      <w:r>
        <w:rPr>
          <w:sz w:val="22"/>
        </w:rPr>
        <w:t xml:space="preserve">, a satellite of The Hague, where 455,000 houses have been built over the last 10 </w:t>
      </w:r>
      <w:proofErr w:type="spellStart"/>
      <w:r>
        <w:rPr>
          <w:sz w:val="22"/>
        </w:rPr>
        <w:t>years.It</w:t>
      </w:r>
      <w:proofErr w:type="spellEnd"/>
      <w:r>
        <w:rPr>
          <w:sz w:val="22"/>
        </w:rPr>
        <w:t xml:space="preserve"> too is well connected by an orbital system around the </w:t>
      </w:r>
      <w:proofErr w:type="spellStart"/>
      <w:r>
        <w:rPr>
          <w:sz w:val="22"/>
        </w:rPr>
        <w:t>Randstadt</w:t>
      </w:r>
      <w:proofErr w:type="spellEnd"/>
      <w:r>
        <w:rPr>
          <w:sz w:val="22"/>
        </w:rPr>
        <w:t>.</w:t>
      </w:r>
    </w:p>
    <w:p w:rsidR="00E95AC6" w:rsidRDefault="00E95AC6" w:rsidP="00A80B6E">
      <w:pPr>
        <w:rPr>
          <w:sz w:val="22"/>
        </w:rPr>
      </w:pPr>
      <w:r>
        <w:rPr>
          <w:sz w:val="22"/>
        </w:rPr>
        <w:lastRenderedPageBreak/>
        <w:t>Sir Peter asked rhetorically whether this was a Garden City, urban extension or larger compact social city to which the answer is all three, with imaginative use of water. From this he concluded that we do not have to be tied to a particular typology of form but to respond to the appropriate geographical pattern.</w:t>
      </w:r>
    </w:p>
    <w:p w:rsidR="00A80B6E" w:rsidRDefault="00A80B6E" w:rsidP="00A80B6E">
      <w:pPr>
        <w:rPr>
          <w:sz w:val="22"/>
        </w:rPr>
      </w:pPr>
    </w:p>
    <w:p w:rsidR="00A80B6E" w:rsidRDefault="00A80B6E" w:rsidP="00A80B6E">
      <w:pPr>
        <w:rPr>
          <w:sz w:val="22"/>
        </w:rPr>
      </w:pPr>
      <w:r>
        <w:rPr>
          <w:noProof/>
          <w:sz w:val="22"/>
          <w:lang w:eastAsia="en-GB"/>
        </w:rPr>
        <w:drawing>
          <wp:inline distT="0" distB="0" distL="0" distR="0">
            <wp:extent cx="5724525" cy="5324475"/>
            <wp:effectExtent l="19050" t="0" r="952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724525" cy="5324475"/>
                    </a:xfrm>
                    <a:prstGeom prst="rect">
                      <a:avLst/>
                    </a:prstGeom>
                    <a:noFill/>
                    <a:ln w="9525">
                      <a:noFill/>
                      <a:miter lim="800000"/>
                      <a:headEnd/>
                      <a:tailEnd/>
                    </a:ln>
                  </pic:spPr>
                </pic:pic>
              </a:graphicData>
            </a:graphic>
          </wp:inline>
        </w:drawing>
      </w:r>
    </w:p>
    <w:p w:rsidR="00E95AC6" w:rsidRDefault="00E95AC6" w:rsidP="00A80B6E">
      <w:pPr>
        <w:rPr>
          <w:sz w:val="22"/>
        </w:rPr>
      </w:pPr>
    </w:p>
    <w:p w:rsidR="00E95AC6" w:rsidRDefault="00E95AC6" w:rsidP="00A80B6E">
      <w:pPr>
        <w:jc w:val="center"/>
        <w:rPr>
          <w:sz w:val="22"/>
        </w:rPr>
      </w:pPr>
      <w:r w:rsidRPr="00E95AC6">
        <w:rPr>
          <w:noProof/>
          <w:sz w:val="22"/>
          <w:lang w:eastAsia="en-GB"/>
        </w:rPr>
        <w:lastRenderedPageBreak/>
        <w:drawing>
          <wp:inline distT="0" distB="0" distL="0" distR="0">
            <wp:extent cx="5200650" cy="3943350"/>
            <wp:effectExtent l="19050" t="0" r="0" b="0"/>
            <wp:docPr id="7" name="Picture 2" descr="C:\WP\SLIDES\L35 NETHS+BELGIUM\Ypenburg neighbourhood + centre.jpg"/>
            <wp:cNvGraphicFramePr/>
            <a:graphic xmlns:a="http://schemas.openxmlformats.org/drawingml/2006/main">
              <a:graphicData uri="http://schemas.openxmlformats.org/drawingml/2006/picture">
                <pic:pic xmlns:pic="http://schemas.openxmlformats.org/drawingml/2006/picture">
                  <pic:nvPicPr>
                    <pic:cNvPr id="52227" name="Picture 3" descr="C:\WP\SLIDES\L35 NETHS+BELGIUM\Ypenburg neighbourhood + centre.jpg"/>
                    <pic:cNvPicPr>
                      <a:picLocks noChangeAspect="1" noChangeArrowheads="1"/>
                    </pic:cNvPicPr>
                  </pic:nvPicPr>
                  <pic:blipFill>
                    <a:blip r:embed="rId18" cstate="print"/>
                    <a:srcRect/>
                    <a:stretch>
                      <a:fillRect/>
                    </a:stretch>
                  </pic:blipFill>
                  <pic:spPr bwMode="auto">
                    <a:xfrm>
                      <a:off x="0" y="0"/>
                      <a:ext cx="5203823" cy="3945756"/>
                    </a:xfrm>
                    <a:prstGeom prst="rect">
                      <a:avLst/>
                    </a:prstGeom>
                    <a:noFill/>
                  </pic:spPr>
                </pic:pic>
              </a:graphicData>
            </a:graphic>
          </wp:inline>
        </w:drawing>
      </w:r>
    </w:p>
    <w:p w:rsidR="00A80B6E" w:rsidRDefault="00A80B6E" w:rsidP="00A80B6E">
      <w:pPr>
        <w:rPr>
          <w:sz w:val="22"/>
        </w:rPr>
      </w:pPr>
    </w:p>
    <w:p w:rsidR="00A80B6E" w:rsidRDefault="00A80B6E" w:rsidP="00A80B6E">
      <w:pPr>
        <w:jc w:val="center"/>
        <w:rPr>
          <w:sz w:val="22"/>
        </w:rPr>
      </w:pPr>
      <w:r>
        <w:rPr>
          <w:rFonts w:ascii="Arial" w:hAnsi="Arial" w:cs="Arial"/>
          <w:noProof/>
          <w:lang w:eastAsia="en-GB"/>
        </w:rPr>
        <w:drawing>
          <wp:inline distT="0" distB="0" distL="0" distR="0">
            <wp:extent cx="4760536" cy="3848100"/>
            <wp:effectExtent l="19050" t="0" r="1964" b="0"/>
            <wp:docPr id="9" name="il_fi" descr="http://www.archined.nl/uploads/pics/ypenb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chined.nl/uploads/pics/ypenburg.jpg"/>
                    <pic:cNvPicPr>
                      <a:picLocks noChangeAspect="1" noChangeArrowheads="1"/>
                    </pic:cNvPicPr>
                  </pic:nvPicPr>
                  <pic:blipFill>
                    <a:blip r:embed="rId19" cstate="print"/>
                    <a:srcRect/>
                    <a:stretch>
                      <a:fillRect/>
                    </a:stretch>
                  </pic:blipFill>
                  <pic:spPr bwMode="auto">
                    <a:xfrm>
                      <a:off x="0" y="0"/>
                      <a:ext cx="4760536" cy="3848100"/>
                    </a:xfrm>
                    <a:prstGeom prst="rect">
                      <a:avLst/>
                    </a:prstGeom>
                    <a:noFill/>
                    <a:ln w="9525">
                      <a:noFill/>
                      <a:miter lim="800000"/>
                      <a:headEnd/>
                      <a:tailEnd/>
                    </a:ln>
                  </pic:spPr>
                </pic:pic>
              </a:graphicData>
            </a:graphic>
          </wp:inline>
        </w:drawing>
      </w:r>
    </w:p>
    <w:p w:rsidR="00E95AC6" w:rsidRDefault="00E95AC6" w:rsidP="00A80B6E">
      <w:pPr>
        <w:rPr>
          <w:sz w:val="22"/>
        </w:rPr>
      </w:pPr>
    </w:p>
    <w:p w:rsidR="00E95AC6" w:rsidRDefault="00E95AC6" w:rsidP="00A80B6E">
      <w:pPr>
        <w:jc w:val="center"/>
        <w:rPr>
          <w:sz w:val="22"/>
        </w:rPr>
      </w:pPr>
      <w:r>
        <w:rPr>
          <w:noProof/>
          <w:sz w:val="22"/>
          <w:lang w:eastAsia="en-GB"/>
        </w:rPr>
        <w:lastRenderedPageBreak/>
        <w:drawing>
          <wp:inline distT="0" distB="0" distL="0" distR="0">
            <wp:extent cx="5257800" cy="3858053"/>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5257800" cy="3858053"/>
                    </a:xfrm>
                    <a:prstGeom prst="rect">
                      <a:avLst/>
                    </a:prstGeom>
                    <a:noFill/>
                    <a:ln w="9525">
                      <a:noFill/>
                      <a:miter lim="800000"/>
                      <a:headEnd/>
                      <a:tailEnd/>
                    </a:ln>
                  </pic:spPr>
                </pic:pic>
              </a:graphicData>
            </a:graphic>
          </wp:inline>
        </w:drawing>
      </w:r>
    </w:p>
    <w:p w:rsidR="00E95AC6" w:rsidRDefault="00E95AC6" w:rsidP="00A80B6E">
      <w:pPr>
        <w:rPr>
          <w:sz w:val="22"/>
        </w:rPr>
      </w:pPr>
    </w:p>
    <w:p w:rsidR="006A45B8" w:rsidRPr="006A45B8" w:rsidRDefault="006A45B8" w:rsidP="00A80B6E">
      <w:pPr>
        <w:rPr>
          <w:b/>
          <w:sz w:val="22"/>
        </w:rPr>
      </w:pPr>
      <w:r w:rsidRPr="006A45B8">
        <w:rPr>
          <w:b/>
          <w:sz w:val="22"/>
        </w:rPr>
        <w:t>Discussion</w:t>
      </w:r>
    </w:p>
    <w:p w:rsidR="006A45B8" w:rsidRDefault="00A80B6E" w:rsidP="00A80B6E">
      <w:pPr>
        <w:rPr>
          <w:sz w:val="22"/>
        </w:rPr>
      </w:pPr>
      <w:r>
        <w:rPr>
          <w:sz w:val="22"/>
        </w:rPr>
        <w:t xml:space="preserve">Drummond Robson said that his recent experience at a Council Core Strategy Examination in Public suggested that none of the visionary ideas of professional planners seems to be offered by Council policymakers – especially in Districts neighbouring London. Instead we are offered protectionism, status quo and where possible no change. The green brown field stereotypes are applied. </w:t>
      </w:r>
    </w:p>
    <w:p w:rsidR="006A45B8" w:rsidRDefault="006A45B8" w:rsidP="00A80B6E">
      <w:pPr>
        <w:rPr>
          <w:sz w:val="22"/>
        </w:rPr>
      </w:pPr>
    </w:p>
    <w:p w:rsidR="00A80B6E" w:rsidRDefault="006A45B8" w:rsidP="00A80B6E">
      <w:pPr>
        <w:rPr>
          <w:sz w:val="22"/>
        </w:rPr>
      </w:pPr>
      <w:r>
        <w:rPr>
          <w:sz w:val="22"/>
        </w:rPr>
        <w:t xml:space="preserve">Beyond this a </w:t>
      </w:r>
      <w:r w:rsidR="00A80B6E">
        <w:rPr>
          <w:sz w:val="22"/>
        </w:rPr>
        <w:t>clear weakness of Town and Country Planning following Howard</w:t>
      </w:r>
      <w:r>
        <w:rPr>
          <w:sz w:val="22"/>
        </w:rPr>
        <w:t xml:space="preserve"> (with social cities filling the gaps between settlements with </w:t>
      </w:r>
      <w:proofErr w:type="spellStart"/>
      <w:r>
        <w:rPr>
          <w:sz w:val="22"/>
        </w:rPr>
        <w:t>abbatoirs</w:t>
      </w:r>
      <w:proofErr w:type="spellEnd"/>
      <w:r>
        <w:rPr>
          <w:sz w:val="22"/>
        </w:rPr>
        <w:t xml:space="preserve"> and lunatic asylums)</w:t>
      </w:r>
      <w:r w:rsidR="00A80B6E">
        <w:rPr>
          <w:sz w:val="22"/>
        </w:rPr>
        <w:t xml:space="preserve">, </w:t>
      </w:r>
      <w:proofErr w:type="spellStart"/>
      <w:r w:rsidR="00A80B6E">
        <w:rPr>
          <w:sz w:val="22"/>
        </w:rPr>
        <w:t>Unwin</w:t>
      </w:r>
      <w:proofErr w:type="spellEnd"/>
      <w:r w:rsidR="00A80B6E">
        <w:rPr>
          <w:sz w:val="22"/>
        </w:rPr>
        <w:t>, Abercrombie and others is that we seem unable to plan for the Countryside, and far less for both Town and Country together. This was lost when the state planning system took over from planning by landed estates as highlighted by Abercrombie who said</w:t>
      </w:r>
    </w:p>
    <w:p w:rsidR="00A80B6E" w:rsidRDefault="00A80B6E" w:rsidP="00A80B6E">
      <w:pPr>
        <w:rPr>
          <w:sz w:val="22"/>
        </w:rPr>
      </w:pPr>
    </w:p>
    <w:p w:rsidR="00A80B6E" w:rsidRDefault="00A80B6E" w:rsidP="00A80B6E">
      <w:pPr>
        <w:widowControl w:val="0"/>
        <w:autoSpaceDE w:val="0"/>
        <w:autoSpaceDN w:val="0"/>
        <w:ind w:left="720"/>
        <w:rPr>
          <w:i/>
          <w:sz w:val="22"/>
        </w:rPr>
      </w:pPr>
      <w:r>
        <w:rPr>
          <w:sz w:val="22"/>
        </w:rPr>
        <w:t>“</w:t>
      </w:r>
      <w:r w:rsidRPr="00A80B6E">
        <w:rPr>
          <w:sz w:val="22"/>
        </w:rPr>
        <w:t>If the country has been humanly modelled and planned in the past, the need for a continu</w:t>
      </w:r>
      <w:r w:rsidRPr="00A80B6E">
        <w:rPr>
          <w:sz w:val="22"/>
        </w:rPr>
        <w:softHyphen/>
        <w:t xml:space="preserve">ance of the practice is even more obvious to-day. The only real change is in the personnel that does the work: there are those that think it can still safely be left to the big landowners and their descendants, the little ones—but this is a fallacy that scarcely needs exploding: somebody with as wide or wider area of control than the great landowners must step in—either the State or the Local Authorities. Of course, where great estates still exist there is nothing to prevent them—and indeed they should—prepare their estate plans and have </w:t>
      </w:r>
      <w:proofErr w:type="gramStart"/>
      <w:r w:rsidRPr="00A80B6E">
        <w:rPr>
          <w:sz w:val="22"/>
        </w:rPr>
        <w:t>them</w:t>
      </w:r>
      <w:proofErr w:type="gramEnd"/>
      <w:r w:rsidRPr="00A80B6E">
        <w:rPr>
          <w:sz w:val="22"/>
        </w:rPr>
        <w:t xml:space="preserve"> incor</w:t>
      </w:r>
      <w:r w:rsidRPr="00A80B6E">
        <w:rPr>
          <w:sz w:val="22"/>
        </w:rPr>
        <w:softHyphen/>
        <w:t>porated in the statutory schemes</w:t>
      </w:r>
      <w:r>
        <w:rPr>
          <w:sz w:val="22"/>
        </w:rPr>
        <w:t xml:space="preserve">”. </w:t>
      </w:r>
      <w:proofErr w:type="gramStart"/>
      <w:r w:rsidRPr="00A80B6E">
        <w:rPr>
          <w:i/>
          <w:sz w:val="22"/>
        </w:rPr>
        <w:t>(Sir Patrick Abercrombie Town and Country Planning 3rd Edition 1959.</w:t>
      </w:r>
      <w:proofErr w:type="gramEnd"/>
      <w:r w:rsidRPr="00A80B6E">
        <w:rPr>
          <w:i/>
          <w:sz w:val="22"/>
        </w:rPr>
        <w:t xml:space="preserve"> </w:t>
      </w:r>
      <w:proofErr w:type="gramStart"/>
      <w:r w:rsidRPr="00A80B6E">
        <w:rPr>
          <w:i/>
          <w:sz w:val="22"/>
        </w:rPr>
        <w:t>Part III Chapter II).</w:t>
      </w:r>
      <w:proofErr w:type="gramEnd"/>
    </w:p>
    <w:p w:rsidR="00A80B6E" w:rsidRDefault="00A80B6E" w:rsidP="00A80B6E">
      <w:pPr>
        <w:widowControl w:val="0"/>
        <w:autoSpaceDE w:val="0"/>
        <w:autoSpaceDN w:val="0"/>
        <w:rPr>
          <w:i/>
          <w:sz w:val="22"/>
        </w:rPr>
      </w:pPr>
    </w:p>
    <w:p w:rsidR="00A80B6E" w:rsidRPr="00A80B6E" w:rsidRDefault="00A80B6E" w:rsidP="00A80B6E">
      <w:pPr>
        <w:widowControl w:val="0"/>
        <w:autoSpaceDE w:val="0"/>
        <w:autoSpaceDN w:val="0"/>
        <w:rPr>
          <w:sz w:val="22"/>
        </w:rPr>
      </w:pPr>
      <w:r w:rsidRPr="00A80B6E">
        <w:rPr>
          <w:sz w:val="22"/>
        </w:rPr>
        <w:t xml:space="preserve">It will be interesting to see whether the alternative model he put forward </w:t>
      </w:r>
      <w:r>
        <w:rPr>
          <w:sz w:val="22"/>
        </w:rPr>
        <w:t xml:space="preserve">as a </w:t>
      </w:r>
      <w:proofErr w:type="spellStart"/>
      <w:r>
        <w:rPr>
          <w:sz w:val="22"/>
        </w:rPr>
        <w:t>Masterplan</w:t>
      </w:r>
      <w:proofErr w:type="spellEnd"/>
      <w:r>
        <w:rPr>
          <w:sz w:val="22"/>
        </w:rPr>
        <w:t xml:space="preserve"> </w:t>
      </w:r>
      <w:r w:rsidRPr="00A80B6E">
        <w:rPr>
          <w:sz w:val="22"/>
        </w:rPr>
        <w:t xml:space="preserve">to that of the Council is </w:t>
      </w:r>
      <w:r w:rsidR="006A45B8">
        <w:rPr>
          <w:sz w:val="22"/>
        </w:rPr>
        <w:t xml:space="preserve">properly considered or </w:t>
      </w:r>
      <w:r w:rsidRPr="00A80B6E">
        <w:rPr>
          <w:sz w:val="22"/>
        </w:rPr>
        <w:t xml:space="preserve">even mentioned by the Inspector examining the </w:t>
      </w:r>
      <w:r w:rsidR="006A45B8">
        <w:rPr>
          <w:sz w:val="22"/>
        </w:rPr>
        <w:t xml:space="preserve">District’s </w:t>
      </w:r>
      <w:r w:rsidRPr="00A80B6E">
        <w:rPr>
          <w:sz w:val="22"/>
        </w:rPr>
        <w:t xml:space="preserve">plan for its soundness. </w:t>
      </w:r>
    </w:p>
    <w:p w:rsidR="00A80B6E" w:rsidRDefault="00A80B6E" w:rsidP="00A80B6E">
      <w:pPr>
        <w:rPr>
          <w:sz w:val="22"/>
        </w:rPr>
      </w:pPr>
    </w:p>
    <w:p w:rsidR="00A80B6E" w:rsidRDefault="006A45B8" w:rsidP="00A80B6E">
      <w:pPr>
        <w:rPr>
          <w:sz w:val="22"/>
        </w:rPr>
      </w:pPr>
      <w:r>
        <w:rPr>
          <w:sz w:val="22"/>
        </w:rPr>
        <w:t xml:space="preserve">Patrick Clarke was concerned that sustainable development was being replaced by a tunnel vision which concentrates almost entirely on housing numbers, rather than looking at proper land use planning solutions.  </w:t>
      </w:r>
    </w:p>
    <w:p w:rsidR="00A80B6E" w:rsidRDefault="00A80B6E" w:rsidP="00EE196E">
      <w:pPr>
        <w:ind w:left="738"/>
        <w:rPr>
          <w:sz w:val="22"/>
        </w:rPr>
      </w:pPr>
    </w:p>
    <w:p w:rsidR="00A80B6E" w:rsidRDefault="006A45B8" w:rsidP="00A80B6E">
      <w:pPr>
        <w:rPr>
          <w:sz w:val="22"/>
        </w:rPr>
      </w:pPr>
      <w:r>
        <w:rPr>
          <w:sz w:val="22"/>
        </w:rPr>
        <w:lastRenderedPageBreak/>
        <w:t xml:space="preserve">Mike </w:t>
      </w:r>
      <w:proofErr w:type="spellStart"/>
      <w:r>
        <w:rPr>
          <w:sz w:val="22"/>
        </w:rPr>
        <w:t>Kiely</w:t>
      </w:r>
      <w:proofErr w:type="spellEnd"/>
      <w:r>
        <w:rPr>
          <w:sz w:val="22"/>
        </w:rPr>
        <w:t xml:space="preserve"> said the London itself had the London Plan itself to rely on. There are no New Town Corporations here. Part of the problem is purchase by overseas buyers making it harder for younger age groups to afford the increasingly scarce property available. </w:t>
      </w:r>
    </w:p>
    <w:p w:rsidR="006A45B8" w:rsidRDefault="006A45B8" w:rsidP="00A80B6E">
      <w:pPr>
        <w:rPr>
          <w:sz w:val="22"/>
        </w:rPr>
      </w:pPr>
    </w:p>
    <w:p w:rsidR="006A45B8" w:rsidRDefault="006A45B8" w:rsidP="00A80B6E">
      <w:pPr>
        <w:rPr>
          <w:sz w:val="22"/>
        </w:rPr>
      </w:pPr>
      <w:r>
        <w:rPr>
          <w:sz w:val="22"/>
        </w:rPr>
        <w:t xml:space="preserve">Brian Waters added that a 3-4% inflation rate is making it worse. Duncan Bowie added the burdens of tax measures, stamp duty, non domicile money, </w:t>
      </w:r>
      <w:proofErr w:type="gramStart"/>
      <w:r>
        <w:rPr>
          <w:sz w:val="22"/>
        </w:rPr>
        <w:t>mansion</w:t>
      </w:r>
      <w:proofErr w:type="gramEnd"/>
      <w:r>
        <w:rPr>
          <w:sz w:val="22"/>
        </w:rPr>
        <w:t xml:space="preserve"> tax to the list.</w:t>
      </w:r>
    </w:p>
    <w:p w:rsidR="006A45B8" w:rsidRDefault="006A45B8" w:rsidP="00A80B6E">
      <w:pPr>
        <w:rPr>
          <w:sz w:val="22"/>
        </w:rPr>
      </w:pPr>
    </w:p>
    <w:p w:rsidR="006A45B8" w:rsidRDefault="006A45B8" w:rsidP="00A80B6E">
      <w:pPr>
        <w:rPr>
          <w:sz w:val="22"/>
        </w:rPr>
      </w:pPr>
      <w:r>
        <w:rPr>
          <w:sz w:val="22"/>
        </w:rPr>
        <w:t>It was estimated that the recession is reducing housing delivery in London by 15,000.</w:t>
      </w:r>
    </w:p>
    <w:p w:rsidR="006A45B8" w:rsidRDefault="006A45B8" w:rsidP="00A80B6E">
      <w:pPr>
        <w:rPr>
          <w:sz w:val="22"/>
        </w:rPr>
      </w:pPr>
    </w:p>
    <w:p w:rsidR="006A45B8" w:rsidRDefault="006A45B8" w:rsidP="00A80B6E">
      <w:pPr>
        <w:rPr>
          <w:sz w:val="22"/>
        </w:rPr>
      </w:pPr>
      <w:r>
        <w:rPr>
          <w:sz w:val="22"/>
        </w:rPr>
        <w:t>Sir Peter Hall said that the 2011 census showed an increase of over 1 million people in the last 10 years, nothing like it has happened in the last 10 years, yet where are they all?</w:t>
      </w:r>
    </w:p>
    <w:p w:rsidR="006A45B8" w:rsidRDefault="006A45B8" w:rsidP="00A80B6E">
      <w:pPr>
        <w:rPr>
          <w:sz w:val="22"/>
        </w:rPr>
      </w:pPr>
    </w:p>
    <w:p w:rsidR="006A45B8" w:rsidRDefault="006A45B8" w:rsidP="00A80B6E">
      <w:pPr>
        <w:rPr>
          <w:sz w:val="22"/>
        </w:rPr>
      </w:pPr>
      <w:r>
        <w:rPr>
          <w:sz w:val="22"/>
        </w:rPr>
        <w:t>Brian Waters wondered about a reversal from the declines in London’s population, associated with the view that New Towns were bad for London in sucking people out. If there is a decline in London’s population this could be irreversible. Tom Ball added that the government does not appear to recognise housing need in London.</w:t>
      </w:r>
    </w:p>
    <w:p w:rsidR="006A45B8" w:rsidRDefault="006A45B8" w:rsidP="00A80B6E">
      <w:pPr>
        <w:rPr>
          <w:sz w:val="22"/>
        </w:rPr>
      </w:pPr>
    </w:p>
    <w:p w:rsidR="006A45B8" w:rsidRDefault="006A45B8" w:rsidP="00A80B6E">
      <w:pPr>
        <w:rPr>
          <w:sz w:val="22"/>
        </w:rPr>
      </w:pPr>
      <w:r>
        <w:rPr>
          <w:sz w:val="22"/>
        </w:rPr>
        <w:t>Patrick Clarke said that even interwar growth was better than in the last 20 years. He wondered why.</w:t>
      </w:r>
    </w:p>
    <w:p w:rsidR="006A45B8" w:rsidRDefault="006A45B8" w:rsidP="00A80B6E">
      <w:pPr>
        <w:rPr>
          <w:sz w:val="22"/>
        </w:rPr>
      </w:pPr>
      <w:r>
        <w:rPr>
          <w:sz w:val="22"/>
        </w:rPr>
        <w:t xml:space="preserve">Sir Peter Hall said that Richard Crossman </w:t>
      </w:r>
      <w:r w:rsidR="00477D21">
        <w:rPr>
          <w:sz w:val="22"/>
        </w:rPr>
        <w:t xml:space="preserve">(1964-6) </w:t>
      </w:r>
      <w:r>
        <w:rPr>
          <w:sz w:val="22"/>
        </w:rPr>
        <w:t>had encouraged system building because of the huge problem that needed to be solved.</w:t>
      </w:r>
    </w:p>
    <w:p w:rsidR="006A45B8" w:rsidRDefault="006A45B8" w:rsidP="00A80B6E">
      <w:pPr>
        <w:rPr>
          <w:sz w:val="22"/>
        </w:rPr>
      </w:pPr>
    </w:p>
    <w:p w:rsidR="006A45B8" w:rsidRDefault="006A45B8" w:rsidP="00A80B6E">
      <w:pPr>
        <w:rPr>
          <w:sz w:val="22"/>
        </w:rPr>
      </w:pPr>
      <w:proofErr w:type="spellStart"/>
      <w:r>
        <w:rPr>
          <w:sz w:val="22"/>
        </w:rPr>
        <w:t>AvB</w:t>
      </w:r>
      <w:proofErr w:type="spellEnd"/>
      <w:r>
        <w:rPr>
          <w:sz w:val="22"/>
        </w:rPr>
        <w:t xml:space="preserve"> was concerned that public/private sector partnerships were needed to provide large scale investment vehicles. The present policy appears to be to build to rent. Local authorities should play their land assets. A precondition of delivery however is adequate infrastructure and whether there is a sustainable infrastructure plan to meet the proposals for say a new town.</w:t>
      </w:r>
    </w:p>
    <w:p w:rsidR="006A45B8" w:rsidRDefault="006A45B8" w:rsidP="00A80B6E">
      <w:pPr>
        <w:rPr>
          <w:sz w:val="22"/>
        </w:rPr>
      </w:pPr>
    </w:p>
    <w:p w:rsidR="006A45B8" w:rsidRDefault="006A45B8" w:rsidP="00A80B6E">
      <w:pPr>
        <w:rPr>
          <w:sz w:val="22"/>
        </w:rPr>
      </w:pPr>
      <w:r>
        <w:rPr>
          <w:sz w:val="22"/>
        </w:rPr>
        <w:t xml:space="preserve">Alastair Gaskin and Matthew Randall said that Camden has recently published its assets worth billions of pounds. Hackney is leading the way on this by bringing in architects and planners to realise the opportunities from this. Haringey is also moving in this direction. </w:t>
      </w:r>
    </w:p>
    <w:p w:rsidR="006A45B8" w:rsidRDefault="006A45B8" w:rsidP="00A80B6E">
      <w:pPr>
        <w:rPr>
          <w:sz w:val="22"/>
        </w:rPr>
      </w:pPr>
    </w:p>
    <w:p w:rsidR="00477D21" w:rsidRDefault="00477D21" w:rsidP="00A80B6E">
      <w:pPr>
        <w:rPr>
          <w:sz w:val="22"/>
        </w:rPr>
      </w:pPr>
      <w:r>
        <w:rPr>
          <w:sz w:val="22"/>
        </w:rPr>
        <w:t xml:space="preserve">A general concern was expressed as “How to unblock the system”. Brian Waters contrasted the demolition of the Aylesbury Estate with the construction of cheaper Laing Homes. </w:t>
      </w:r>
    </w:p>
    <w:p w:rsidR="00477D21" w:rsidRDefault="00477D21" w:rsidP="00A80B6E">
      <w:pPr>
        <w:rPr>
          <w:sz w:val="22"/>
        </w:rPr>
      </w:pPr>
    </w:p>
    <w:p w:rsidR="00477D21" w:rsidRDefault="00477D21" w:rsidP="00A80B6E">
      <w:pPr>
        <w:rPr>
          <w:sz w:val="22"/>
        </w:rPr>
      </w:pPr>
      <w:r>
        <w:rPr>
          <w:sz w:val="22"/>
        </w:rPr>
        <w:t>Michael Bach was concerned that the government is receding from guidance and suggested that the last worthwhile strategic guidance for London came from LPAC.</w:t>
      </w:r>
    </w:p>
    <w:p w:rsidR="00477D21" w:rsidRDefault="00477D21" w:rsidP="00A80B6E">
      <w:pPr>
        <w:rPr>
          <w:sz w:val="22"/>
        </w:rPr>
      </w:pPr>
    </w:p>
    <w:p w:rsidR="00477D21" w:rsidRDefault="00477D21" w:rsidP="00A80B6E">
      <w:pPr>
        <w:rPr>
          <w:sz w:val="22"/>
        </w:rPr>
      </w:pPr>
      <w:r>
        <w:rPr>
          <w:sz w:val="22"/>
        </w:rPr>
        <w:t xml:space="preserve">Tom Ball recalled the value of Westminster Town Clerk’s Parker Morris Standards which should be reintroduced. (The London Plan of July 2011 incorporates minimum housing space standards DR).  </w:t>
      </w:r>
    </w:p>
    <w:p w:rsidR="006A45B8" w:rsidRDefault="006A45B8" w:rsidP="00A80B6E">
      <w:pPr>
        <w:rPr>
          <w:sz w:val="22"/>
        </w:rPr>
      </w:pPr>
    </w:p>
    <w:p w:rsidR="00477D21" w:rsidRDefault="00477D21" w:rsidP="00A80B6E">
      <w:pPr>
        <w:rPr>
          <w:sz w:val="22"/>
        </w:rPr>
      </w:pPr>
      <w:r>
        <w:rPr>
          <w:sz w:val="22"/>
        </w:rPr>
        <w:t xml:space="preserve">Martin Simmons returned to the need to grow beyond its boundaries with very different policy perspectives between London and the Home Counties, with a lack of dialogue between them, in spite of section 348 of the Greater London Act. DR added that the duty to co-operate with neighbouring authorities </w:t>
      </w:r>
      <w:r w:rsidRPr="00477D21">
        <w:rPr>
          <w:i/>
          <w:sz w:val="22"/>
        </w:rPr>
        <w:t>meaningfully</w:t>
      </w:r>
      <w:r>
        <w:rPr>
          <w:sz w:val="22"/>
        </w:rPr>
        <w:t xml:space="preserve"> is now a clear obligation under paragraph 178 of the NPPF. The GLA following the results of the census is concerned that insufficient housing provision is being made relative to London’s needs.</w:t>
      </w:r>
    </w:p>
    <w:p w:rsidR="00477D21" w:rsidRDefault="00477D21" w:rsidP="00A80B6E">
      <w:pPr>
        <w:rPr>
          <w:sz w:val="22"/>
        </w:rPr>
      </w:pPr>
    </w:p>
    <w:p w:rsidR="00477D21" w:rsidRDefault="00477D21" w:rsidP="00A80B6E">
      <w:pPr>
        <w:rPr>
          <w:sz w:val="22"/>
        </w:rPr>
      </w:pPr>
      <w:r>
        <w:rPr>
          <w:sz w:val="22"/>
        </w:rPr>
        <w:t>Duncan Bowie said there is a 3,000/year capacity shortage of dwellings in London.</w:t>
      </w:r>
    </w:p>
    <w:p w:rsidR="00477D21" w:rsidRDefault="00477D21" w:rsidP="00A80B6E">
      <w:pPr>
        <w:rPr>
          <w:sz w:val="22"/>
        </w:rPr>
      </w:pPr>
    </w:p>
    <w:p w:rsidR="00477D21" w:rsidRDefault="00477D21" w:rsidP="00A80B6E">
      <w:pPr>
        <w:rPr>
          <w:sz w:val="22"/>
        </w:rPr>
      </w:pPr>
      <w:r>
        <w:rPr>
          <w:sz w:val="22"/>
        </w:rPr>
        <w:t>Brian Whiteley said there was no realistic mechanism to engage with Counties outside London over matters relating to waste disposal for example. Who is one to consult with?</w:t>
      </w:r>
    </w:p>
    <w:p w:rsidR="00477D21" w:rsidRDefault="00477D21" w:rsidP="00A80B6E">
      <w:pPr>
        <w:rPr>
          <w:sz w:val="22"/>
        </w:rPr>
      </w:pPr>
    </w:p>
    <w:p w:rsidR="00477D21" w:rsidRDefault="00477D21" w:rsidP="00A80B6E">
      <w:pPr>
        <w:rPr>
          <w:sz w:val="22"/>
        </w:rPr>
      </w:pPr>
      <w:r>
        <w:rPr>
          <w:sz w:val="22"/>
        </w:rPr>
        <w:t>Patrick Clarke was concerned if planning is being conducted with little regard for the principles of character, layout and density of the existing environment.</w:t>
      </w:r>
    </w:p>
    <w:p w:rsidR="00477D21" w:rsidRDefault="00477D21" w:rsidP="00A80B6E">
      <w:pPr>
        <w:rPr>
          <w:sz w:val="22"/>
        </w:rPr>
      </w:pPr>
    </w:p>
    <w:p w:rsidR="00477D21" w:rsidRDefault="00477D21" w:rsidP="00A80B6E">
      <w:pPr>
        <w:rPr>
          <w:sz w:val="22"/>
        </w:rPr>
      </w:pPr>
      <w:r>
        <w:rPr>
          <w:sz w:val="22"/>
        </w:rPr>
        <w:lastRenderedPageBreak/>
        <w:t>The Leasehold Reform Act offers a serious obstacle to using private money. However this does not</w:t>
      </w:r>
      <w:r w:rsidR="0049566C">
        <w:rPr>
          <w:sz w:val="22"/>
        </w:rPr>
        <w:t>,</w:t>
      </w:r>
      <w:r>
        <w:rPr>
          <w:sz w:val="22"/>
        </w:rPr>
        <w:t xml:space="preserve"> as Sir Peter Hall said</w:t>
      </w:r>
      <w:r w:rsidR="0049566C">
        <w:rPr>
          <w:sz w:val="22"/>
        </w:rPr>
        <w:t>,</w:t>
      </w:r>
      <w:r>
        <w:rPr>
          <w:sz w:val="22"/>
        </w:rPr>
        <w:t xml:space="preserve"> apply in cases such as Hampstead Garden Suburb’s Trust form of management.</w:t>
      </w:r>
    </w:p>
    <w:p w:rsidR="0049566C" w:rsidRDefault="0049566C" w:rsidP="00A80B6E">
      <w:pPr>
        <w:rPr>
          <w:sz w:val="22"/>
        </w:rPr>
      </w:pPr>
    </w:p>
    <w:p w:rsidR="0024712E" w:rsidRPr="0024712E" w:rsidRDefault="0024712E" w:rsidP="0024712E">
      <w:pPr>
        <w:rPr>
          <w:b/>
          <w:sz w:val="22"/>
        </w:rPr>
      </w:pPr>
      <w:proofErr w:type="gramStart"/>
      <w:r>
        <w:rPr>
          <w:b/>
          <w:sz w:val="22"/>
        </w:rPr>
        <w:t>Discussion Topic b</w:t>
      </w:r>
      <w:r w:rsidRPr="0024712E">
        <w:rPr>
          <w:b/>
          <w:sz w:val="22"/>
        </w:rPr>
        <w:t>.</w:t>
      </w:r>
      <w:proofErr w:type="gramEnd"/>
      <w:r w:rsidRPr="0024712E">
        <w:rPr>
          <w:b/>
          <w:sz w:val="22"/>
        </w:rPr>
        <w:t xml:space="preserve"> </w:t>
      </w:r>
    </w:p>
    <w:p w:rsidR="0049566C" w:rsidRDefault="0024712E" w:rsidP="00A80B6E">
      <w:pPr>
        <w:rPr>
          <w:sz w:val="22"/>
        </w:rPr>
      </w:pPr>
      <w:r>
        <w:rPr>
          <w:sz w:val="22"/>
        </w:rPr>
        <w:t xml:space="preserve">Mike </w:t>
      </w:r>
      <w:proofErr w:type="spellStart"/>
      <w:r>
        <w:rPr>
          <w:sz w:val="22"/>
        </w:rPr>
        <w:t>Kiely</w:t>
      </w:r>
      <w:proofErr w:type="spellEnd"/>
      <w:r>
        <w:rPr>
          <w:sz w:val="22"/>
        </w:rPr>
        <w:t xml:space="preserve"> introduced the second topic of the National Planning Policy Framework.</w:t>
      </w:r>
    </w:p>
    <w:p w:rsidR="006A45B8" w:rsidRDefault="006A45B8" w:rsidP="00A80B6E">
      <w:pPr>
        <w:rPr>
          <w:sz w:val="22"/>
        </w:rPr>
      </w:pPr>
    </w:p>
    <w:p w:rsidR="006A45B8" w:rsidRDefault="00A23062" w:rsidP="00A80B6E">
      <w:pPr>
        <w:rPr>
          <w:sz w:val="22"/>
        </w:rPr>
      </w:pPr>
      <w:r>
        <w:rPr>
          <w:sz w:val="22"/>
        </w:rPr>
        <w:t>He said the NPPF was closer to the previous framework and overall was in his terms business as usual. He said it helps being a succinct document. He thought the system operates at “cherry picking”.</w:t>
      </w:r>
    </w:p>
    <w:p w:rsidR="00A23062" w:rsidRDefault="00A23062" w:rsidP="00A80B6E">
      <w:pPr>
        <w:rPr>
          <w:sz w:val="22"/>
        </w:rPr>
      </w:pPr>
    </w:p>
    <w:p w:rsidR="00A23062" w:rsidRDefault="00A23062" w:rsidP="00A80B6E">
      <w:pPr>
        <w:rPr>
          <w:sz w:val="22"/>
        </w:rPr>
      </w:pPr>
      <w:r>
        <w:rPr>
          <w:sz w:val="22"/>
        </w:rPr>
        <w:t>The NPPF is written to maintain the primacy of law. (Since it is a policy framework expressing new interpretations only with no changes to the law it can hardly be otherwise. DR).</w:t>
      </w:r>
    </w:p>
    <w:p w:rsidR="00A23062" w:rsidRDefault="00A23062" w:rsidP="00A80B6E">
      <w:pPr>
        <w:rPr>
          <w:sz w:val="22"/>
        </w:rPr>
      </w:pPr>
    </w:p>
    <w:p w:rsidR="00A23062" w:rsidRDefault="00A23062" w:rsidP="00A80B6E">
      <w:pPr>
        <w:rPr>
          <w:sz w:val="22"/>
        </w:rPr>
      </w:pPr>
      <w:r>
        <w:rPr>
          <w:sz w:val="22"/>
        </w:rPr>
        <w:t xml:space="preserve">The 12 core planning principles are welcomed as is the continuation of a plan led system. Decisions need to take account of the different character of different areas. </w:t>
      </w:r>
    </w:p>
    <w:p w:rsidR="00A23062" w:rsidRDefault="00A23062" w:rsidP="00A80B6E">
      <w:pPr>
        <w:rPr>
          <w:sz w:val="22"/>
        </w:rPr>
      </w:pPr>
    </w:p>
    <w:p w:rsidR="00902692" w:rsidRDefault="00902692" w:rsidP="00902692">
      <w:pPr>
        <w:rPr>
          <w:sz w:val="22"/>
        </w:rPr>
      </w:pPr>
      <w:r>
        <w:rPr>
          <w:sz w:val="22"/>
        </w:rPr>
        <w:t>The presumption in favour of sustainable development is not new but a repeat of PPS3. The section on Design is welcome.</w:t>
      </w:r>
    </w:p>
    <w:p w:rsidR="00902692" w:rsidRDefault="00902692" w:rsidP="00902692">
      <w:pPr>
        <w:rPr>
          <w:sz w:val="22"/>
        </w:rPr>
      </w:pPr>
    </w:p>
    <w:p w:rsidR="00A23062" w:rsidRDefault="00A23062" w:rsidP="00A80B6E">
      <w:pPr>
        <w:rPr>
          <w:sz w:val="22"/>
        </w:rPr>
      </w:pPr>
      <w:r>
        <w:rPr>
          <w:sz w:val="22"/>
        </w:rPr>
        <w:t>Housing</w:t>
      </w:r>
      <w:r w:rsidR="00112C0A">
        <w:rPr>
          <w:sz w:val="22"/>
        </w:rPr>
        <w:t xml:space="preserve"> policies</w:t>
      </w:r>
      <w:r>
        <w:rPr>
          <w:sz w:val="22"/>
        </w:rPr>
        <w:t xml:space="preserve">, the economy and </w:t>
      </w:r>
      <w:r w:rsidR="00112C0A">
        <w:rPr>
          <w:sz w:val="22"/>
        </w:rPr>
        <w:t xml:space="preserve">protection of open land need to be evidence based. Housing was supply based and is now needs based. The requirement to provide a 6 year (of 15) land supply is based on law not numbers. It has been identified to allow a buffer. </w:t>
      </w:r>
    </w:p>
    <w:p w:rsidR="00112C0A" w:rsidRDefault="00112C0A" w:rsidP="00A80B6E">
      <w:pPr>
        <w:rPr>
          <w:sz w:val="22"/>
        </w:rPr>
      </w:pPr>
    </w:p>
    <w:p w:rsidR="00E858F8" w:rsidRDefault="00112C0A" w:rsidP="00A80B6E">
      <w:pPr>
        <w:rPr>
          <w:sz w:val="22"/>
        </w:rPr>
      </w:pPr>
      <w:r>
        <w:rPr>
          <w:sz w:val="22"/>
        </w:rPr>
        <w:t xml:space="preserve">MK queried how to judge between a 5% </w:t>
      </w:r>
      <w:r w:rsidR="00E858F8">
        <w:rPr>
          <w:sz w:val="22"/>
        </w:rPr>
        <w:t xml:space="preserve">buffer of deliverable sites </w:t>
      </w:r>
      <w:r>
        <w:rPr>
          <w:sz w:val="22"/>
        </w:rPr>
        <w:t xml:space="preserve">and </w:t>
      </w:r>
      <w:r w:rsidR="00E858F8">
        <w:rPr>
          <w:sz w:val="22"/>
        </w:rPr>
        <w:t xml:space="preserve">the </w:t>
      </w:r>
      <w:r>
        <w:rPr>
          <w:sz w:val="22"/>
        </w:rPr>
        <w:t xml:space="preserve">20% </w:t>
      </w:r>
      <w:r w:rsidR="00E858F8">
        <w:rPr>
          <w:sz w:val="22"/>
        </w:rPr>
        <w:t>buffer for local authorities who have persistently delivered below their target</w:t>
      </w:r>
      <w:r>
        <w:rPr>
          <w:sz w:val="22"/>
        </w:rPr>
        <w:t>, and thought this could be clearer.</w:t>
      </w:r>
      <w:r w:rsidR="00E858F8">
        <w:rPr>
          <w:sz w:val="22"/>
        </w:rPr>
        <w:t xml:space="preserve"> (</w:t>
      </w:r>
      <w:proofErr w:type="gramStart"/>
      <w:r w:rsidR="00E858F8">
        <w:rPr>
          <w:sz w:val="22"/>
        </w:rPr>
        <w:t>paragraph</w:t>
      </w:r>
      <w:proofErr w:type="gramEnd"/>
      <w:r w:rsidR="00E858F8">
        <w:rPr>
          <w:sz w:val="22"/>
        </w:rPr>
        <w:t xml:space="preserve"> 47).</w:t>
      </w:r>
      <w:r w:rsidR="00B950F3">
        <w:rPr>
          <w:sz w:val="22"/>
        </w:rPr>
        <w:t xml:space="preserve"> Mike Coupe reminded the Forum that the percentage related to completions, not starts and wondered how this would be measured.</w:t>
      </w:r>
    </w:p>
    <w:p w:rsidR="00E858F8" w:rsidRDefault="00E858F8" w:rsidP="00A80B6E">
      <w:pPr>
        <w:rPr>
          <w:sz w:val="22"/>
        </w:rPr>
      </w:pPr>
    </w:p>
    <w:p w:rsidR="00E858F8" w:rsidRDefault="00E858F8" w:rsidP="00A80B6E">
      <w:pPr>
        <w:rPr>
          <w:sz w:val="22"/>
        </w:rPr>
      </w:pPr>
      <w:r>
        <w:rPr>
          <w:sz w:val="22"/>
        </w:rPr>
        <w:t xml:space="preserve">Windfalls may now be acknowledged. </w:t>
      </w:r>
    </w:p>
    <w:p w:rsidR="00E858F8" w:rsidRDefault="00E858F8" w:rsidP="00A80B6E">
      <w:pPr>
        <w:rPr>
          <w:sz w:val="22"/>
        </w:rPr>
      </w:pPr>
    </w:p>
    <w:p w:rsidR="00E858F8" w:rsidRDefault="00E858F8" w:rsidP="00A80B6E">
      <w:pPr>
        <w:rPr>
          <w:sz w:val="22"/>
        </w:rPr>
      </w:pPr>
      <w:r>
        <w:rPr>
          <w:sz w:val="22"/>
        </w:rPr>
        <w:t xml:space="preserve">In relation to industrial land </w:t>
      </w:r>
      <w:proofErr w:type="gramStart"/>
      <w:r>
        <w:rPr>
          <w:sz w:val="22"/>
        </w:rPr>
        <w:t>MK  thought</w:t>
      </w:r>
      <w:proofErr w:type="gramEnd"/>
      <w:r>
        <w:rPr>
          <w:sz w:val="22"/>
        </w:rPr>
        <w:t xml:space="preserve"> that industrial land could be released. </w:t>
      </w:r>
    </w:p>
    <w:p w:rsidR="00E858F8" w:rsidRDefault="00E858F8" w:rsidP="00A80B6E">
      <w:pPr>
        <w:rPr>
          <w:sz w:val="22"/>
        </w:rPr>
      </w:pPr>
    </w:p>
    <w:p w:rsidR="00E858F8" w:rsidRDefault="00E858F8" w:rsidP="00A80B6E">
      <w:pPr>
        <w:rPr>
          <w:sz w:val="22"/>
        </w:rPr>
      </w:pPr>
      <w:r>
        <w:rPr>
          <w:sz w:val="22"/>
        </w:rPr>
        <w:t xml:space="preserve">The change from B1-C3 would result in the more profitable housing use being preferred. Imposition of the constraint of an article 4 direction to circumvent this would result in a risk of compensation and so would encourage a “free for all”. </w:t>
      </w:r>
    </w:p>
    <w:p w:rsidR="00E858F8" w:rsidRDefault="00E858F8" w:rsidP="00A80B6E">
      <w:pPr>
        <w:rPr>
          <w:sz w:val="22"/>
        </w:rPr>
      </w:pPr>
    </w:p>
    <w:p w:rsidR="00902692" w:rsidRDefault="00E858F8" w:rsidP="00A80B6E">
      <w:pPr>
        <w:rPr>
          <w:sz w:val="22"/>
        </w:rPr>
      </w:pPr>
      <w:r>
        <w:rPr>
          <w:sz w:val="22"/>
        </w:rPr>
        <w:t xml:space="preserve">In relation to Protection of Open Land MK asked how should one deal with institutional uses and he thought that PPG2 policies “could find their way back. He thought the policy could be more selective given the myriad of </w:t>
      </w:r>
      <w:r w:rsidR="00902692">
        <w:rPr>
          <w:sz w:val="22"/>
        </w:rPr>
        <w:t>local green spaces. He suggested restrictions on development of Private Open Space. Brian Water wondered if this might be a weak policy but MK disagreed. The green space wording within settlements is quite strong (e.g. paragraph 76).</w:t>
      </w:r>
    </w:p>
    <w:p w:rsidR="00902692" w:rsidRDefault="00902692" w:rsidP="00A80B6E">
      <w:pPr>
        <w:rPr>
          <w:sz w:val="22"/>
        </w:rPr>
      </w:pPr>
    </w:p>
    <w:p w:rsidR="00B950F3" w:rsidRDefault="00902692" w:rsidP="00A80B6E">
      <w:pPr>
        <w:rPr>
          <w:sz w:val="22"/>
        </w:rPr>
      </w:pPr>
      <w:r>
        <w:rPr>
          <w:sz w:val="22"/>
        </w:rPr>
        <w:t xml:space="preserve">On procedure it is clear that authorities need to get their plans in place. </w:t>
      </w:r>
      <w:r w:rsidR="00B950F3">
        <w:rPr>
          <w:sz w:val="22"/>
        </w:rPr>
        <w:t xml:space="preserve">MK was concerned about decisions going in favour of proposals where plan policies were absent, silent or out of date. </w:t>
      </w:r>
      <w:proofErr w:type="spellStart"/>
      <w:proofErr w:type="gramStart"/>
      <w:r w:rsidR="00B950F3">
        <w:rPr>
          <w:sz w:val="22"/>
        </w:rPr>
        <w:t>Abent</w:t>
      </w:r>
      <w:proofErr w:type="spellEnd"/>
      <w:r w:rsidR="00B950F3">
        <w:rPr>
          <w:sz w:val="22"/>
        </w:rPr>
        <w:t xml:space="preserve"> and out of date yes.</w:t>
      </w:r>
      <w:proofErr w:type="gramEnd"/>
      <w:r w:rsidR="00B950F3">
        <w:rPr>
          <w:sz w:val="22"/>
        </w:rPr>
        <w:t xml:space="preserve"> </w:t>
      </w:r>
      <w:proofErr w:type="gramStart"/>
      <w:r w:rsidR="00B950F3">
        <w:rPr>
          <w:sz w:val="22"/>
        </w:rPr>
        <w:t>Silent no.</w:t>
      </w:r>
      <w:proofErr w:type="gramEnd"/>
      <w:r w:rsidR="00B950F3">
        <w:rPr>
          <w:sz w:val="22"/>
        </w:rPr>
        <w:t xml:space="preserve"> </w:t>
      </w:r>
    </w:p>
    <w:p w:rsidR="00B950F3" w:rsidRDefault="00B950F3" w:rsidP="00A80B6E">
      <w:pPr>
        <w:rPr>
          <w:sz w:val="22"/>
        </w:rPr>
      </w:pPr>
    </w:p>
    <w:p w:rsidR="00B950F3" w:rsidRDefault="00B950F3" w:rsidP="00A80B6E">
      <w:pPr>
        <w:rPr>
          <w:sz w:val="22"/>
        </w:rPr>
      </w:pPr>
      <w:r>
        <w:rPr>
          <w:sz w:val="22"/>
        </w:rPr>
        <w:t>The transition arrangements were MK thought a fuss about nothing.</w:t>
      </w:r>
    </w:p>
    <w:p w:rsidR="00B950F3" w:rsidRDefault="00B950F3" w:rsidP="00A80B6E">
      <w:pPr>
        <w:rPr>
          <w:sz w:val="22"/>
        </w:rPr>
      </w:pPr>
    </w:p>
    <w:p w:rsidR="00B950F3" w:rsidRDefault="00B950F3" w:rsidP="00A80B6E">
      <w:pPr>
        <w:rPr>
          <w:sz w:val="22"/>
        </w:rPr>
      </w:pPr>
      <w:r>
        <w:rPr>
          <w:sz w:val="22"/>
        </w:rPr>
        <w:t xml:space="preserve">Clarification </w:t>
      </w:r>
      <w:proofErr w:type="gramStart"/>
      <w:r>
        <w:rPr>
          <w:sz w:val="22"/>
        </w:rPr>
        <w:t>of  energy</w:t>
      </w:r>
      <w:proofErr w:type="gramEnd"/>
      <w:r>
        <w:rPr>
          <w:sz w:val="22"/>
        </w:rPr>
        <w:t xml:space="preserve"> policies and their weight will be considered in relation to the soundness of core strategies. </w:t>
      </w:r>
    </w:p>
    <w:p w:rsidR="00B950F3" w:rsidRDefault="00B950F3" w:rsidP="00A80B6E">
      <w:pPr>
        <w:rPr>
          <w:sz w:val="22"/>
        </w:rPr>
      </w:pPr>
    </w:p>
    <w:p w:rsidR="00B950F3" w:rsidRDefault="00B950F3" w:rsidP="00A80B6E">
      <w:pPr>
        <w:rPr>
          <w:sz w:val="22"/>
        </w:rPr>
      </w:pPr>
      <w:r>
        <w:rPr>
          <w:sz w:val="22"/>
        </w:rPr>
        <w:t xml:space="preserve">There is now a sharper emphasis on viability and deliverability in planning for objectively assessed housing needs. MK commended the work of RICS on this. </w:t>
      </w:r>
    </w:p>
    <w:p w:rsidR="00B950F3" w:rsidRDefault="00B950F3" w:rsidP="00A80B6E">
      <w:pPr>
        <w:rPr>
          <w:sz w:val="22"/>
        </w:rPr>
      </w:pPr>
    </w:p>
    <w:p w:rsidR="00112C0A" w:rsidRDefault="00B950F3" w:rsidP="00A80B6E">
      <w:pPr>
        <w:rPr>
          <w:sz w:val="22"/>
        </w:rPr>
      </w:pPr>
      <w:r>
        <w:rPr>
          <w:sz w:val="22"/>
        </w:rPr>
        <w:lastRenderedPageBreak/>
        <w:t>The duty to co-operate between authorities (already mentioned above) is now made strong and more defined (paragraphs 178-181</w:t>
      </w:r>
      <w:proofErr w:type="gramStart"/>
      <w:r>
        <w:rPr>
          <w:sz w:val="22"/>
        </w:rPr>
        <w:t>) .</w:t>
      </w:r>
      <w:proofErr w:type="gramEnd"/>
      <w:r>
        <w:rPr>
          <w:sz w:val="22"/>
        </w:rPr>
        <w:t xml:space="preserve"> MK asked what sanctions there would be if they did not. (In the case of Core Strategies the issue will be one of soundness). </w:t>
      </w:r>
    </w:p>
    <w:p w:rsidR="00902692" w:rsidRPr="00B950F3" w:rsidRDefault="00B950F3" w:rsidP="00A80B6E">
      <w:pPr>
        <w:rPr>
          <w:b/>
          <w:sz w:val="22"/>
        </w:rPr>
      </w:pPr>
      <w:r w:rsidRPr="00B950F3">
        <w:rPr>
          <w:b/>
          <w:sz w:val="22"/>
        </w:rPr>
        <w:t>Discussion</w:t>
      </w:r>
    </w:p>
    <w:p w:rsidR="00B950F3" w:rsidRDefault="00B950F3" w:rsidP="00A80B6E">
      <w:pPr>
        <w:rPr>
          <w:sz w:val="22"/>
        </w:rPr>
      </w:pPr>
      <w:r>
        <w:rPr>
          <w:sz w:val="22"/>
        </w:rPr>
        <w:t>Michael Bach was concerned that NPPF “maintains the silos” and lacks a proper spatial dimension. London is largely resolved in relation to this but elsewhere this is not the case.</w:t>
      </w:r>
    </w:p>
    <w:p w:rsidR="00B950F3" w:rsidRDefault="00B950F3" w:rsidP="00A80B6E">
      <w:pPr>
        <w:rPr>
          <w:sz w:val="22"/>
        </w:rPr>
      </w:pPr>
    </w:p>
    <w:p w:rsidR="00B950F3" w:rsidRDefault="00B950F3" w:rsidP="00A80B6E">
      <w:pPr>
        <w:rPr>
          <w:sz w:val="22"/>
        </w:rPr>
      </w:pPr>
      <w:r>
        <w:rPr>
          <w:sz w:val="22"/>
        </w:rPr>
        <w:t xml:space="preserve">Top down planning will shake out those sites which are never going to happen. Paragraph 51 (residential use of empty property) is likely to result in the best going for housing and the worst staying empty. In Soho creative industries are at risk of being wiped out. MK said that the Croydon local plans offers safeguards on this. </w:t>
      </w:r>
    </w:p>
    <w:p w:rsidR="00B950F3" w:rsidRDefault="00B950F3" w:rsidP="00A80B6E">
      <w:pPr>
        <w:rPr>
          <w:sz w:val="22"/>
        </w:rPr>
      </w:pPr>
    </w:p>
    <w:p w:rsidR="00B950F3" w:rsidRDefault="00B950F3" w:rsidP="00B950F3">
      <w:pPr>
        <w:rPr>
          <w:sz w:val="22"/>
        </w:rPr>
      </w:pPr>
      <w:r>
        <w:rPr>
          <w:sz w:val="22"/>
        </w:rPr>
        <w:t xml:space="preserve">Brian Waters wondered how controls operated in Europe. Sir Peter Hall said the methods varied widely from country to country but in general planning is more prescriptive (extensive use of zoning). In control of buildings however we are more prescriptive than many continental states. </w:t>
      </w:r>
    </w:p>
    <w:p w:rsidR="00B950F3" w:rsidRDefault="00B950F3" w:rsidP="00A80B6E">
      <w:pPr>
        <w:rPr>
          <w:sz w:val="22"/>
        </w:rPr>
      </w:pPr>
    </w:p>
    <w:p w:rsidR="00B950F3" w:rsidRDefault="00B950F3" w:rsidP="00A80B6E">
      <w:pPr>
        <w:rPr>
          <w:sz w:val="22"/>
        </w:rPr>
      </w:pPr>
      <w:r>
        <w:rPr>
          <w:sz w:val="22"/>
        </w:rPr>
        <w:t>In Florida the State retains the infrastructure allocation but gives access to these resources if you take up the offer in a short timescale. Otherwise the offer is withdrawn.</w:t>
      </w:r>
    </w:p>
    <w:p w:rsidR="00B950F3" w:rsidRDefault="00B950F3" w:rsidP="00A80B6E">
      <w:pPr>
        <w:rPr>
          <w:sz w:val="22"/>
        </w:rPr>
      </w:pPr>
    </w:p>
    <w:p w:rsidR="00B950F3" w:rsidRDefault="00B950F3" w:rsidP="00A80B6E">
      <w:pPr>
        <w:rPr>
          <w:sz w:val="22"/>
        </w:rPr>
      </w:pPr>
    </w:p>
    <w:p w:rsidR="00EE196E" w:rsidRDefault="00EE196E" w:rsidP="00B950F3">
      <w:pPr>
        <w:pStyle w:val="ListParagraph"/>
        <w:numPr>
          <w:ilvl w:val="0"/>
          <w:numId w:val="1"/>
        </w:numPr>
        <w:ind w:left="360"/>
        <w:rPr>
          <w:sz w:val="22"/>
        </w:rPr>
      </w:pPr>
      <w:r w:rsidRPr="00B57921">
        <w:rPr>
          <w:sz w:val="22"/>
        </w:rPr>
        <w:t xml:space="preserve">Minutes of Meeting held </w:t>
      </w:r>
      <w:r>
        <w:rPr>
          <w:sz w:val="22"/>
        </w:rPr>
        <w:t xml:space="preserve">at </w:t>
      </w:r>
      <w:r w:rsidRPr="00024D96">
        <w:rPr>
          <w:sz w:val="22"/>
        </w:rPr>
        <w:t xml:space="preserve">University of Westminster 35 Marylebone Road NW1 5LS on Wednesday 13th </w:t>
      </w:r>
      <w:proofErr w:type="gramStart"/>
      <w:r w:rsidRPr="00024D96">
        <w:rPr>
          <w:sz w:val="22"/>
        </w:rPr>
        <w:t>June  2012</w:t>
      </w:r>
      <w:proofErr w:type="gramEnd"/>
      <w:r w:rsidRPr="00024D96">
        <w:rPr>
          <w:sz w:val="22"/>
        </w:rPr>
        <w:t xml:space="preserve"> </w:t>
      </w:r>
      <w:r w:rsidRPr="00B46C2A">
        <w:rPr>
          <w:sz w:val="22"/>
        </w:rPr>
        <w:t>and matters arising.</w:t>
      </w:r>
    </w:p>
    <w:p w:rsidR="00B950F3" w:rsidRDefault="00B950F3" w:rsidP="00B950F3">
      <w:pPr>
        <w:ind w:left="360" w:hanging="360"/>
        <w:rPr>
          <w:sz w:val="22"/>
        </w:rPr>
      </w:pPr>
    </w:p>
    <w:p w:rsidR="00B950F3" w:rsidRPr="00B950F3" w:rsidRDefault="00B950F3" w:rsidP="00B950F3">
      <w:pPr>
        <w:ind w:left="360"/>
        <w:rPr>
          <w:sz w:val="22"/>
        </w:rPr>
      </w:pPr>
      <w:r>
        <w:rPr>
          <w:sz w:val="22"/>
        </w:rPr>
        <w:t>These were accepted.</w:t>
      </w:r>
    </w:p>
    <w:p w:rsidR="00EE196E" w:rsidRPr="00E26751" w:rsidRDefault="00EE196E" w:rsidP="00B950F3">
      <w:pPr>
        <w:pStyle w:val="NormalWeb"/>
        <w:spacing w:before="0" w:beforeAutospacing="0" w:after="0" w:afterAutospacing="0"/>
        <w:ind w:left="360" w:right="-805" w:hanging="360"/>
        <w:rPr>
          <w:sz w:val="22"/>
        </w:rPr>
      </w:pPr>
    </w:p>
    <w:p w:rsidR="00EE196E" w:rsidRPr="00B950F3" w:rsidRDefault="00EE196E" w:rsidP="00B950F3">
      <w:pPr>
        <w:pStyle w:val="ListParagraph"/>
        <w:numPr>
          <w:ilvl w:val="0"/>
          <w:numId w:val="1"/>
        </w:numPr>
        <w:spacing w:after="120"/>
        <w:ind w:left="360" w:right="386"/>
        <w:rPr>
          <w:sz w:val="22"/>
        </w:rPr>
      </w:pPr>
      <w:r w:rsidRPr="00B950F3">
        <w:rPr>
          <w:sz w:val="22"/>
        </w:rPr>
        <w:t>Treasurer’s report.</w:t>
      </w:r>
    </w:p>
    <w:p w:rsidR="00B950F3" w:rsidRPr="00B950F3" w:rsidRDefault="00B950F3" w:rsidP="00B950F3">
      <w:pPr>
        <w:spacing w:after="120"/>
        <w:ind w:left="360" w:right="386"/>
        <w:rPr>
          <w:sz w:val="22"/>
        </w:rPr>
      </w:pPr>
      <w:proofErr w:type="gramStart"/>
      <w:r>
        <w:rPr>
          <w:sz w:val="22"/>
        </w:rPr>
        <w:t>Awaited</w:t>
      </w:r>
      <w:proofErr w:type="gramEnd"/>
      <w:r>
        <w:rPr>
          <w:sz w:val="22"/>
        </w:rPr>
        <w:t>.</w:t>
      </w:r>
    </w:p>
    <w:p w:rsidR="00EE196E" w:rsidRPr="00B950F3" w:rsidRDefault="00EE196E" w:rsidP="00B950F3">
      <w:pPr>
        <w:pStyle w:val="ListParagraph"/>
        <w:numPr>
          <w:ilvl w:val="0"/>
          <w:numId w:val="1"/>
        </w:numPr>
        <w:spacing w:after="120"/>
        <w:ind w:left="360" w:right="386"/>
        <w:rPr>
          <w:sz w:val="22"/>
        </w:rPr>
      </w:pPr>
      <w:r w:rsidRPr="00B950F3">
        <w:rPr>
          <w:sz w:val="22"/>
        </w:rPr>
        <w:t>Next Meeting.</w:t>
      </w:r>
    </w:p>
    <w:p w:rsidR="00510D39" w:rsidRPr="00510D39" w:rsidRDefault="00510D39" w:rsidP="00510D39">
      <w:pPr>
        <w:pStyle w:val="ListParagraph"/>
        <w:numPr>
          <w:ilvl w:val="0"/>
          <w:numId w:val="1"/>
        </w:numPr>
        <w:spacing w:after="120"/>
        <w:ind w:left="360" w:right="386"/>
        <w:rPr>
          <w:sz w:val="22"/>
        </w:rPr>
      </w:pPr>
      <w:r w:rsidRPr="00510D39">
        <w:rPr>
          <w:sz w:val="22"/>
        </w:rPr>
        <w:t xml:space="preserve">To be held at Town and Country Planning Association, 17 Carlton House Terrace London </w:t>
      </w:r>
      <w:r w:rsidRPr="00510D39">
        <w:rPr>
          <w:bCs/>
          <w:sz w:val="22"/>
        </w:rPr>
        <w:t>SW1Y 5AS on</w:t>
      </w:r>
      <w:r w:rsidRPr="00510D39">
        <w:rPr>
          <w:sz w:val="22"/>
        </w:rPr>
        <w:t xml:space="preserve"> Monday 10th December, 2.30 pm. Our Host is Kate Henderson</w:t>
      </w:r>
    </w:p>
    <w:p w:rsidR="00EE196E" w:rsidRPr="00B950F3" w:rsidRDefault="00EE196E" w:rsidP="00B950F3">
      <w:pPr>
        <w:pStyle w:val="ListParagraph"/>
        <w:numPr>
          <w:ilvl w:val="0"/>
          <w:numId w:val="1"/>
        </w:numPr>
        <w:spacing w:after="120"/>
        <w:ind w:left="360" w:right="386"/>
        <w:rPr>
          <w:sz w:val="22"/>
        </w:rPr>
      </w:pPr>
      <w:r w:rsidRPr="00B950F3">
        <w:rPr>
          <w:sz w:val="22"/>
        </w:rPr>
        <w:t>Review of standing items.</w:t>
      </w:r>
    </w:p>
    <w:p w:rsidR="00B950F3" w:rsidRPr="00B950F3" w:rsidRDefault="00B950F3" w:rsidP="00B950F3">
      <w:pPr>
        <w:spacing w:after="120"/>
        <w:ind w:left="360" w:right="386"/>
        <w:rPr>
          <w:sz w:val="22"/>
        </w:rPr>
      </w:pPr>
      <w:proofErr w:type="gramStart"/>
      <w:r>
        <w:rPr>
          <w:sz w:val="22"/>
        </w:rPr>
        <w:t>None.</w:t>
      </w:r>
      <w:proofErr w:type="gramEnd"/>
    </w:p>
    <w:p w:rsidR="00EE196E" w:rsidRPr="00B950F3" w:rsidRDefault="00EE196E" w:rsidP="00B950F3">
      <w:pPr>
        <w:pStyle w:val="ListParagraph"/>
        <w:numPr>
          <w:ilvl w:val="0"/>
          <w:numId w:val="1"/>
        </w:numPr>
        <w:spacing w:after="120"/>
        <w:ind w:left="360" w:right="386"/>
        <w:rPr>
          <w:sz w:val="22"/>
        </w:rPr>
      </w:pPr>
      <w:r w:rsidRPr="00B950F3">
        <w:rPr>
          <w:sz w:val="22"/>
        </w:rPr>
        <w:t xml:space="preserve">AOB   </w:t>
      </w:r>
      <w:r w:rsidRPr="00B950F3">
        <w:rPr>
          <w:sz w:val="22"/>
        </w:rPr>
        <w:tab/>
      </w:r>
      <w:r w:rsidRPr="00B950F3">
        <w:rPr>
          <w:sz w:val="22"/>
        </w:rPr>
        <w:tab/>
      </w:r>
    </w:p>
    <w:p w:rsidR="00B950F3" w:rsidRPr="00B950F3" w:rsidRDefault="00B950F3" w:rsidP="00B950F3">
      <w:pPr>
        <w:spacing w:after="120"/>
        <w:ind w:left="360" w:right="386"/>
        <w:rPr>
          <w:sz w:val="22"/>
        </w:rPr>
      </w:pPr>
      <w:proofErr w:type="gramStart"/>
      <w:r>
        <w:rPr>
          <w:sz w:val="22"/>
        </w:rPr>
        <w:t>None.</w:t>
      </w:r>
      <w:proofErr w:type="gramEnd"/>
    </w:p>
    <w:p w:rsidR="007F184C" w:rsidRDefault="007F184C" w:rsidP="007F184C"/>
    <w:p w:rsidR="00B950F3" w:rsidRDefault="00B950F3" w:rsidP="007F184C"/>
    <w:p w:rsidR="00B950F3" w:rsidRDefault="00B950F3" w:rsidP="007F184C">
      <w:r>
        <w:t>DR/</w:t>
      </w:r>
      <w:proofErr w:type="spellStart"/>
      <w:r>
        <w:t>dbm</w:t>
      </w:r>
      <w:proofErr w:type="spellEnd"/>
      <w:r>
        <w:t xml:space="preserve"> 2</w:t>
      </w:r>
      <w:r w:rsidR="00510D39">
        <w:t>6</w:t>
      </w:r>
      <w:r>
        <w:t>.9.12</w:t>
      </w:r>
    </w:p>
    <w:sectPr w:rsidR="00B950F3" w:rsidSect="00E6435E">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15C80"/>
    <w:multiLevelType w:val="hybridMultilevel"/>
    <w:tmpl w:val="BE762EB2"/>
    <w:lvl w:ilvl="0" w:tplc="B32C2AA8">
      <w:start w:val="1"/>
      <w:numFmt w:val="bullet"/>
      <w:lvlText w:val="•"/>
      <w:lvlJc w:val="left"/>
      <w:pPr>
        <w:tabs>
          <w:tab w:val="num" w:pos="1080"/>
        </w:tabs>
        <w:ind w:left="1080" w:hanging="360"/>
      </w:pPr>
      <w:rPr>
        <w:rFonts w:ascii="Times New Roman" w:hAnsi="Times New Roman" w:hint="default"/>
      </w:rPr>
    </w:lvl>
    <w:lvl w:ilvl="1" w:tplc="B4604556" w:tentative="1">
      <w:start w:val="1"/>
      <w:numFmt w:val="bullet"/>
      <w:lvlText w:val="•"/>
      <w:lvlJc w:val="left"/>
      <w:pPr>
        <w:tabs>
          <w:tab w:val="num" w:pos="1800"/>
        </w:tabs>
        <w:ind w:left="1800" w:hanging="360"/>
      </w:pPr>
      <w:rPr>
        <w:rFonts w:ascii="Times New Roman" w:hAnsi="Times New Roman" w:hint="default"/>
      </w:rPr>
    </w:lvl>
    <w:lvl w:ilvl="2" w:tplc="5F86F3F8" w:tentative="1">
      <w:start w:val="1"/>
      <w:numFmt w:val="bullet"/>
      <w:lvlText w:val="•"/>
      <w:lvlJc w:val="left"/>
      <w:pPr>
        <w:tabs>
          <w:tab w:val="num" w:pos="2520"/>
        </w:tabs>
        <w:ind w:left="2520" w:hanging="360"/>
      </w:pPr>
      <w:rPr>
        <w:rFonts w:ascii="Times New Roman" w:hAnsi="Times New Roman" w:hint="default"/>
      </w:rPr>
    </w:lvl>
    <w:lvl w:ilvl="3" w:tplc="2FA42010" w:tentative="1">
      <w:start w:val="1"/>
      <w:numFmt w:val="bullet"/>
      <w:lvlText w:val="•"/>
      <w:lvlJc w:val="left"/>
      <w:pPr>
        <w:tabs>
          <w:tab w:val="num" w:pos="3240"/>
        </w:tabs>
        <w:ind w:left="3240" w:hanging="360"/>
      </w:pPr>
      <w:rPr>
        <w:rFonts w:ascii="Times New Roman" w:hAnsi="Times New Roman" w:hint="default"/>
      </w:rPr>
    </w:lvl>
    <w:lvl w:ilvl="4" w:tplc="4C5CEAC8" w:tentative="1">
      <w:start w:val="1"/>
      <w:numFmt w:val="bullet"/>
      <w:lvlText w:val="•"/>
      <w:lvlJc w:val="left"/>
      <w:pPr>
        <w:tabs>
          <w:tab w:val="num" w:pos="3960"/>
        </w:tabs>
        <w:ind w:left="3960" w:hanging="360"/>
      </w:pPr>
      <w:rPr>
        <w:rFonts w:ascii="Times New Roman" w:hAnsi="Times New Roman" w:hint="default"/>
      </w:rPr>
    </w:lvl>
    <w:lvl w:ilvl="5" w:tplc="B5D43A74" w:tentative="1">
      <w:start w:val="1"/>
      <w:numFmt w:val="bullet"/>
      <w:lvlText w:val="•"/>
      <w:lvlJc w:val="left"/>
      <w:pPr>
        <w:tabs>
          <w:tab w:val="num" w:pos="4680"/>
        </w:tabs>
        <w:ind w:left="4680" w:hanging="360"/>
      </w:pPr>
      <w:rPr>
        <w:rFonts w:ascii="Times New Roman" w:hAnsi="Times New Roman" w:hint="default"/>
      </w:rPr>
    </w:lvl>
    <w:lvl w:ilvl="6" w:tplc="E5209028" w:tentative="1">
      <w:start w:val="1"/>
      <w:numFmt w:val="bullet"/>
      <w:lvlText w:val="•"/>
      <w:lvlJc w:val="left"/>
      <w:pPr>
        <w:tabs>
          <w:tab w:val="num" w:pos="5400"/>
        </w:tabs>
        <w:ind w:left="5400" w:hanging="360"/>
      </w:pPr>
      <w:rPr>
        <w:rFonts w:ascii="Times New Roman" w:hAnsi="Times New Roman" w:hint="default"/>
      </w:rPr>
    </w:lvl>
    <w:lvl w:ilvl="7" w:tplc="E9142160" w:tentative="1">
      <w:start w:val="1"/>
      <w:numFmt w:val="bullet"/>
      <w:lvlText w:val="•"/>
      <w:lvlJc w:val="left"/>
      <w:pPr>
        <w:tabs>
          <w:tab w:val="num" w:pos="6120"/>
        </w:tabs>
        <w:ind w:left="6120" w:hanging="360"/>
      </w:pPr>
      <w:rPr>
        <w:rFonts w:ascii="Times New Roman" w:hAnsi="Times New Roman" w:hint="default"/>
      </w:rPr>
    </w:lvl>
    <w:lvl w:ilvl="8" w:tplc="A100E660" w:tentative="1">
      <w:start w:val="1"/>
      <w:numFmt w:val="bullet"/>
      <w:lvlText w:val="•"/>
      <w:lvlJc w:val="left"/>
      <w:pPr>
        <w:tabs>
          <w:tab w:val="num" w:pos="6840"/>
        </w:tabs>
        <w:ind w:left="6840" w:hanging="360"/>
      </w:pPr>
      <w:rPr>
        <w:rFonts w:ascii="Times New Roman" w:hAnsi="Times New Roman" w:hint="default"/>
      </w:rPr>
    </w:lvl>
  </w:abstractNum>
  <w:abstractNum w:abstractNumId="1">
    <w:nsid w:val="4A7E1AA9"/>
    <w:multiLevelType w:val="hybridMultilevel"/>
    <w:tmpl w:val="DA720826"/>
    <w:lvl w:ilvl="0" w:tplc="4B1286F4">
      <w:start w:val="1"/>
      <w:numFmt w:val="low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
    <w:nsid w:val="4C75650D"/>
    <w:multiLevelType w:val="hybridMultilevel"/>
    <w:tmpl w:val="43DA8026"/>
    <w:lvl w:ilvl="0" w:tplc="D850FCC2">
      <w:start w:val="1"/>
      <w:numFmt w:val="decimal"/>
      <w:lvlText w:val="%1."/>
      <w:lvlJc w:val="left"/>
      <w:pPr>
        <w:ind w:left="644" w:hanging="360"/>
      </w:pPr>
      <w:rPr>
        <w:rFonts w:hint="default"/>
      </w:rPr>
    </w:lvl>
    <w:lvl w:ilvl="1" w:tplc="0809001B">
      <w:start w:val="1"/>
      <w:numFmt w:val="lowerRoman"/>
      <w:lvlText w:val="%2."/>
      <w:lvlJc w:val="righ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7F184C"/>
    <w:rsid w:val="00112C0A"/>
    <w:rsid w:val="00187CC1"/>
    <w:rsid w:val="0024712E"/>
    <w:rsid w:val="003837EC"/>
    <w:rsid w:val="003E2454"/>
    <w:rsid w:val="00477D21"/>
    <w:rsid w:val="0049566C"/>
    <w:rsid w:val="00510D39"/>
    <w:rsid w:val="005252C1"/>
    <w:rsid w:val="005B0E28"/>
    <w:rsid w:val="006177B1"/>
    <w:rsid w:val="00685AC1"/>
    <w:rsid w:val="00691030"/>
    <w:rsid w:val="006A45B8"/>
    <w:rsid w:val="00755E96"/>
    <w:rsid w:val="007F184C"/>
    <w:rsid w:val="008A0C56"/>
    <w:rsid w:val="00902692"/>
    <w:rsid w:val="00974B49"/>
    <w:rsid w:val="009F7BB8"/>
    <w:rsid w:val="00A23062"/>
    <w:rsid w:val="00A80B6E"/>
    <w:rsid w:val="00B950F3"/>
    <w:rsid w:val="00C70151"/>
    <w:rsid w:val="00C86A1D"/>
    <w:rsid w:val="00CE3E65"/>
    <w:rsid w:val="00DF6418"/>
    <w:rsid w:val="00E6435E"/>
    <w:rsid w:val="00E858F8"/>
    <w:rsid w:val="00E95AC6"/>
    <w:rsid w:val="00EC0C06"/>
    <w:rsid w:val="00EE196E"/>
    <w:rsid w:val="00FA2DB0"/>
    <w:rsid w:val="00FC5487"/>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184C"/>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7F184C"/>
    <w:rPr>
      <w:color w:val="0000FF"/>
      <w:u w:val="single"/>
    </w:rPr>
  </w:style>
  <w:style w:type="paragraph" w:styleId="BalloonText">
    <w:name w:val="Balloon Text"/>
    <w:basedOn w:val="Normal"/>
    <w:link w:val="BalloonTextChar"/>
    <w:uiPriority w:val="99"/>
    <w:semiHidden/>
    <w:unhideWhenUsed/>
    <w:rsid w:val="007F184C"/>
    <w:rPr>
      <w:rFonts w:ascii="Tahoma" w:hAnsi="Tahoma" w:cs="Tahoma"/>
      <w:sz w:val="16"/>
      <w:szCs w:val="16"/>
    </w:rPr>
  </w:style>
  <w:style w:type="character" w:customStyle="1" w:styleId="BalloonTextChar">
    <w:name w:val="Balloon Text Char"/>
    <w:basedOn w:val="DefaultParagraphFont"/>
    <w:link w:val="BalloonText"/>
    <w:uiPriority w:val="99"/>
    <w:semiHidden/>
    <w:rsid w:val="007F184C"/>
    <w:rPr>
      <w:rFonts w:ascii="Tahoma" w:eastAsia="Times New Roman" w:hAnsi="Tahoma" w:cs="Tahoma"/>
      <w:sz w:val="16"/>
      <w:szCs w:val="16"/>
    </w:rPr>
  </w:style>
  <w:style w:type="paragraph" w:styleId="ListParagraph">
    <w:name w:val="List Paragraph"/>
    <w:basedOn w:val="Normal"/>
    <w:uiPriority w:val="34"/>
    <w:qFormat/>
    <w:rsid w:val="00EE196E"/>
    <w:pPr>
      <w:ind w:left="720"/>
    </w:pPr>
  </w:style>
  <w:style w:type="paragraph" w:styleId="NormalWeb">
    <w:name w:val="Normal (Web)"/>
    <w:basedOn w:val="Normal"/>
    <w:unhideWhenUsed/>
    <w:rsid w:val="00EE196E"/>
    <w:pPr>
      <w:spacing w:before="100" w:beforeAutospacing="1" w:after="100" w:afterAutospacing="1"/>
    </w:pPr>
    <w:rPr>
      <w:rFonts w:eastAsia="Calibri"/>
      <w:sz w:val="24"/>
      <w:szCs w:val="24"/>
      <w:lang w:eastAsia="en-GB" w:bidi="he-IL"/>
    </w:rPr>
  </w:style>
  <w:style w:type="paragraph" w:customStyle="1" w:styleId="Default">
    <w:name w:val="Default"/>
    <w:rsid w:val="009F7BB8"/>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510D39"/>
    <w:rPr>
      <w:b/>
      <w:bCs/>
    </w:rPr>
  </w:style>
</w:styles>
</file>

<file path=word/webSettings.xml><?xml version="1.0" encoding="utf-8"?>
<w:webSettings xmlns:r="http://schemas.openxmlformats.org/officeDocument/2006/relationships" xmlns:w="http://schemas.openxmlformats.org/wordprocessingml/2006/main">
  <w:divs>
    <w:div w:id="255405984">
      <w:bodyDiv w:val="1"/>
      <w:marLeft w:val="0"/>
      <w:marRight w:val="0"/>
      <w:marTop w:val="0"/>
      <w:marBottom w:val="0"/>
      <w:divBdr>
        <w:top w:val="none" w:sz="0" w:space="0" w:color="auto"/>
        <w:left w:val="none" w:sz="0" w:space="0" w:color="auto"/>
        <w:bottom w:val="none" w:sz="0" w:space="0" w:color="auto"/>
        <w:right w:val="none" w:sz="0" w:space="0" w:color="auto"/>
      </w:divBdr>
    </w:div>
    <w:div w:id="622927331">
      <w:bodyDiv w:val="1"/>
      <w:marLeft w:val="0"/>
      <w:marRight w:val="0"/>
      <w:marTop w:val="0"/>
      <w:marBottom w:val="0"/>
      <w:divBdr>
        <w:top w:val="none" w:sz="0" w:space="0" w:color="auto"/>
        <w:left w:val="none" w:sz="0" w:space="0" w:color="auto"/>
        <w:bottom w:val="none" w:sz="0" w:space="0" w:color="auto"/>
        <w:right w:val="none" w:sz="0" w:space="0" w:color="auto"/>
      </w:divBdr>
      <w:divsChild>
        <w:div w:id="1021972899">
          <w:marLeft w:val="547"/>
          <w:marRight w:val="0"/>
          <w:marTop w:val="0"/>
          <w:marBottom w:val="216"/>
          <w:divBdr>
            <w:top w:val="none" w:sz="0" w:space="0" w:color="auto"/>
            <w:left w:val="none" w:sz="0" w:space="0" w:color="auto"/>
            <w:bottom w:val="none" w:sz="0" w:space="0" w:color="auto"/>
            <w:right w:val="none" w:sz="0" w:space="0" w:color="auto"/>
          </w:divBdr>
        </w:div>
        <w:div w:id="914243792">
          <w:marLeft w:val="547"/>
          <w:marRight w:val="0"/>
          <w:marTop w:val="0"/>
          <w:marBottom w:val="216"/>
          <w:divBdr>
            <w:top w:val="none" w:sz="0" w:space="0" w:color="auto"/>
            <w:left w:val="none" w:sz="0" w:space="0" w:color="auto"/>
            <w:bottom w:val="none" w:sz="0" w:space="0" w:color="auto"/>
            <w:right w:val="none" w:sz="0" w:space="0" w:color="auto"/>
          </w:divBdr>
        </w:div>
        <w:div w:id="2140105308">
          <w:marLeft w:val="547"/>
          <w:marRight w:val="0"/>
          <w:marTop w:val="0"/>
          <w:marBottom w:val="216"/>
          <w:divBdr>
            <w:top w:val="none" w:sz="0" w:space="0" w:color="auto"/>
            <w:left w:val="none" w:sz="0" w:space="0" w:color="auto"/>
            <w:bottom w:val="none" w:sz="0" w:space="0" w:color="auto"/>
            <w:right w:val="none" w:sz="0" w:space="0" w:color="auto"/>
          </w:divBdr>
        </w:div>
        <w:div w:id="2092237610">
          <w:marLeft w:val="547"/>
          <w:marRight w:val="0"/>
          <w:marTop w:val="0"/>
          <w:marBottom w:val="216"/>
          <w:divBdr>
            <w:top w:val="none" w:sz="0" w:space="0" w:color="auto"/>
            <w:left w:val="none" w:sz="0" w:space="0" w:color="auto"/>
            <w:bottom w:val="none" w:sz="0" w:space="0" w:color="auto"/>
            <w:right w:val="none" w:sz="0" w:space="0" w:color="auto"/>
          </w:divBdr>
        </w:div>
        <w:div w:id="1961917107">
          <w:marLeft w:val="547"/>
          <w:marRight w:val="0"/>
          <w:marTop w:val="0"/>
          <w:marBottom w:val="216"/>
          <w:divBdr>
            <w:top w:val="none" w:sz="0" w:space="0" w:color="auto"/>
            <w:left w:val="none" w:sz="0" w:space="0" w:color="auto"/>
            <w:bottom w:val="none" w:sz="0" w:space="0" w:color="auto"/>
            <w:right w:val="none" w:sz="0" w:space="0" w:color="auto"/>
          </w:divBdr>
        </w:div>
        <w:div w:id="1294287818">
          <w:marLeft w:val="547"/>
          <w:marRight w:val="0"/>
          <w:marTop w:val="0"/>
          <w:marBottom w:val="216"/>
          <w:divBdr>
            <w:top w:val="none" w:sz="0" w:space="0" w:color="auto"/>
            <w:left w:val="none" w:sz="0" w:space="0" w:color="auto"/>
            <w:bottom w:val="none" w:sz="0" w:space="0" w:color="auto"/>
            <w:right w:val="none" w:sz="0" w:space="0" w:color="auto"/>
          </w:divBdr>
        </w:div>
        <w:div w:id="785734443">
          <w:marLeft w:val="547"/>
          <w:marRight w:val="0"/>
          <w:marTop w:val="0"/>
          <w:marBottom w:val="216"/>
          <w:divBdr>
            <w:top w:val="none" w:sz="0" w:space="0" w:color="auto"/>
            <w:left w:val="none" w:sz="0" w:space="0" w:color="auto"/>
            <w:bottom w:val="none" w:sz="0" w:space="0" w:color="auto"/>
            <w:right w:val="none" w:sz="0" w:space="0" w:color="auto"/>
          </w:divBdr>
        </w:div>
      </w:divsChild>
    </w:div>
    <w:div w:id="653337844">
      <w:bodyDiv w:val="1"/>
      <w:marLeft w:val="0"/>
      <w:marRight w:val="0"/>
      <w:marTop w:val="0"/>
      <w:marBottom w:val="0"/>
      <w:divBdr>
        <w:top w:val="none" w:sz="0" w:space="0" w:color="auto"/>
        <w:left w:val="none" w:sz="0" w:space="0" w:color="auto"/>
        <w:bottom w:val="none" w:sz="0" w:space="0" w:color="auto"/>
        <w:right w:val="none" w:sz="0" w:space="0" w:color="auto"/>
      </w:divBdr>
    </w:div>
    <w:div w:id="1142039668">
      <w:bodyDiv w:val="1"/>
      <w:marLeft w:val="0"/>
      <w:marRight w:val="0"/>
      <w:marTop w:val="0"/>
      <w:marBottom w:val="0"/>
      <w:divBdr>
        <w:top w:val="none" w:sz="0" w:space="0" w:color="auto"/>
        <w:left w:val="none" w:sz="0" w:space="0" w:color="auto"/>
        <w:bottom w:val="none" w:sz="0" w:space="0" w:color="auto"/>
        <w:right w:val="none" w:sz="0" w:space="0" w:color="auto"/>
      </w:divBdr>
    </w:div>
    <w:div w:id="1155536252">
      <w:bodyDiv w:val="1"/>
      <w:marLeft w:val="0"/>
      <w:marRight w:val="0"/>
      <w:marTop w:val="0"/>
      <w:marBottom w:val="0"/>
      <w:divBdr>
        <w:top w:val="none" w:sz="0" w:space="0" w:color="auto"/>
        <w:left w:val="none" w:sz="0" w:space="0" w:color="auto"/>
        <w:bottom w:val="none" w:sz="0" w:space="0" w:color="auto"/>
        <w:right w:val="none" w:sz="0" w:space="0" w:color="auto"/>
      </w:divBdr>
    </w:div>
    <w:div w:id="1227766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Office_PowerPoint_Slide1.sldx"/><Relationship Id="rId13" Type="http://schemas.openxmlformats.org/officeDocument/2006/relationships/image" Target="media/image5.emf"/><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hyperlink" Target="http://www.brentham.com/" TargetMode="External"/><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hyperlink" Target="http://www.vauban.de/karte/vaubankarte.png" TargetMode="External"/><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hyperlink" Target="http://www.planninginlondon.com" TargetMode="External"/><Relationship Id="rId11" Type="http://schemas.openxmlformats.org/officeDocument/2006/relationships/hyperlink" Target="http://www.tcpa.org.uk/data/files/Creating_Garden_Cities_and_Suburbs_Today.pdf" TargetMode="External"/><Relationship Id="rId5" Type="http://schemas.openxmlformats.org/officeDocument/2006/relationships/image" Target="media/image1.png"/><Relationship Id="rId15" Type="http://schemas.openxmlformats.org/officeDocument/2006/relationships/image" Target="media/image7.png"/><Relationship Id="rId10" Type="http://schemas.openxmlformats.org/officeDocument/2006/relationships/image" Target="media/image4.jpe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542</TotalTime>
  <Pages>13</Pages>
  <Words>3391</Words>
  <Characters>19334</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Drummond</dc:creator>
  <cp:lastModifiedBy>Drummond</cp:lastModifiedBy>
  <cp:revision>14</cp:revision>
  <dcterms:created xsi:type="dcterms:W3CDTF">2012-09-23T08:34:00Z</dcterms:created>
  <dcterms:modified xsi:type="dcterms:W3CDTF">2012-09-26T17:26:00Z</dcterms:modified>
</cp:coreProperties>
</file>